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2579"/>
        <w:gridCol w:w="3658"/>
        <w:gridCol w:w="3437"/>
      </w:tblGrid>
      <w:tr w:rsidR="00EA3841" w:rsidTr="00EA3841">
        <w:trPr>
          <w:jc w:val="center"/>
        </w:trPr>
        <w:tc>
          <w:tcPr>
            <w:tcW w:w="2631" w:type="dxa"/>
            <w:vAlign w:val="center"/>
            <w:hideMark/>
          </w:tcPr>
          <w:p w:rsidR="00EA3841" w:rsidRDefault="00EA3841">
            <w:pPr>
              <w:spacing w:line="276" w:lineRule="auto"/>
              <w:jc w:val="center"/>
              <w:rPr>
                <w:b/>
                <w:bCs/>
                <w:i/>
                <w:iCs/>
                <w:sz w:val="32"/>
                <w:lang w:val="lv-LV" w:eastAsia="en-US"/>
              </w:rPr>
            </w:pPr>
            <w:r>
              <w:rPr>
                <w:b/>
                <w:i/>
                <w:noProof/>
                <w:sz w:val="32"/>
                <w:lang w:val="en-US" w:eastAsia="en-US"/>
              </w:rPr>
              <w:drawing>
                <wp:inline distT="0" distB="0" distL="0" distR="0">
                  <wp:extent cx="895350" cy="923925"/>
                  <wp:effectExtent l="19050" t="0" r="0" b="0"/>
                  <wp:docPr id="6" name="Picture 3" descr="LFB_logo_jaunais_apgriez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B_logo_jaunais_apgriezsts"/>
                          <pic:cNvPicPr>
                            <a:picLocks noChangeAspect="1" noChangeArrowheads="1"/>
                          </pic:cNvPicPr>
                        </pic:nvPicPr>
                        <pic:blipFill>
                          <a:blip r:embed="rId7" cstate="print"/>
                          <a:srcRect/>
                          <a:stretch>
                            <a:fillRect/>
                          </a:stretch>
                        </pic:blipFill>
                        <pic:spPr bwMode="auto">
                          <a:xfrm>
                            <a:off x="0" y="0"/>
                            <a:ext cx="895350" cy="923925"/>
                          </a:xfrm>
                          <a:prstGeom prst="rect">
                            <a:avLst/>
                          </a:prstGeom>
                          <a:noFill/>
                          <a:ln w="9525">
                            <a:noFill/>
                            <a:miter lim="800000"/>
                            <a:headEnd/>
                            <a:tailEnd/>
                          </a:ln>
                        </pic:spPr>
                      </pic:pic>
                    </a:graphicData>
                  </a:graphic>
                </wp:inline>
              </w:drawing>
            </w:r>
          </w:p>
        </w:tc>
        <w:tc>
          <w:tcPr>
            <w:tcW w:w="3770" w:type="dxa"/>
            <w:hideMark/>
          </w:tcPr>
          <w:p w:rsidR="00EA3841" w:rsidRDefault="00EA3841">
            <w:pPr>
              <w:spacing w:line="276" w:lineRule="auto"/>
              <w:jc w:val="center"/>
              <w:rPr>
                <w:bCs/>
                <w:lang w:val="lv-LV" w:eastAsia="en-US"/>
              </w:rPr>
            </w:pPr>
            <w:r>
              <w:rPr>
                <w:noProof/>
                <w:lang w:val="en-US" w:eastAsia="en-US"/>
              </w:rPr>
              <w:drawing>
                <wp:inline distT="0" distB="0" distL="0" distR="0">
                  <wp:extent cx="800100" cy="762000"/>
                  <wp:effectExtent l="19050" t="0" r="0" b="0"/>
                  <wp:docPr id="5" name="Picture 2" descr="PMA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_logo copy"/>
                          <pic:cNvPicPr>
                            <a:picLocks noChangeAspect="1" noChangeArrowheads="1"/>
                          </pic:cNvPicPr>
                        </pic:nvPicPr>
                        <pic:blipFill>
                          <a:blip r:embed="rId8" cstate="print"/>
                          <a:srcRect/>
                          <a:stretch>
                            <a:fillRect/>
                          </a:stretch>
                        </pic:blipFill>
                        <pic:spPr bwMode="auto">
                          <a:xfrm>
                            <a:off x="0" y="0"/>
                            <a:ext cx="800100" cy="762000"/>
                          </a:xfrm>
                          <a:prstGeom prst="rect">
                            <a:avLst/>
                          </a:prstGeom>
                          <a:noFill/>
                          <a:ln w="9525">
                            <a:noFill/>
                            <a:miter lim="800000"/>
                            <a:headEnd/>
                            <a:tailEnd/>
                          </a:ln>
                        </pic:spPr>
                      </pic:pic>
                    </a:graphicData>
                  </a:graphic>
                </wp:inline>
              </w:drawing>
            </w:r>
          </w:p>
        </w:tc>
        <w:tc>
          <w:tcPr>
            <w:tcW w:w="3520" w:type="dxa"/>
          </w:tcPr>
          <w:p w:rsidR="00EA3841" w:rsidRDefault="00EA3841">
            <w:pPr>
              <w:spacing w:line="276" w:lineRule="auto"/>
              <w:jc w:val="center"/>
              <w:rPr>
                <w:lang w:val="lv-LV" w:eastAsia="en-US"/>
              </w:rPr>
            </w:pPr>
          </w:p>
          <w:p w:rsidR="00EA3841" w:rsidRDefault="00EA3841">
            <w:pPr>
              <w:spacing w:line="276" w:lineRule="auto"/>
              <w:jc w:val="center"/>
              <w:rPr>
                <w:color w:val="000000"/>
                <w:lang w:val="lv-LV" w:eastAsia="en-US"/>
              </w:rPr>
            </w:pPr>
            <w:r>
              <w:rPr>
                <w:noProof/>
                <w:lang w:val="en-US" w:eastAsia="en-US"/>
              </w:rPr>
              <w:drawing>
                <wp:inline distT="0" distB="0" distL="0" distR="0">
                  <wp:extent cx="1076325" cy="4286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76325" cy="428625"/>
                          </a:xfrm>
                          <a:prstGeom prst="rect">
                            <a:avLst/>
                          </a:prstGeom>
                          <a:noFill/>
                          <a:ln w="9525">
                            <a:noFill/>
                            <a:miter lim="800000"/>
                            <a:headEnd/>
                            <a:tailEnd/>
                          </a:ln>
                        </pic:spPr>
                      </pic:pic>
                    </a:graphicData>
                  </a:graphic>
                </wp:inline>
              </w:drawing>
            </w:r>
          </w:p>
        </w:tc>
      </w:tr>
      <w:tr w:rsidR="00EA3841" w:rsidTr="00EA3841">
        <w:trPr>
          <w:jc w:val="center"/>
        </w:trPr>
        <w:tc>
          <w:tcPr>
            <w:tcW w:w="2631" w:type="dxa"/>
          </w:tcPr>
          <w:p w:rsidR="00EA3841" w:rsidRDefault="00EA3841">
            <w:pPr>
              <w:spacing w:line="276" w:lineRule="auto"/>
              <w:jc w:val="center"/>
              <w:rPr>
                <w:b/>
                <w:lang w:val="lv-LV" w:eastAsia="en-US"/>
              </w:rPr>
            </w:pPr>
            <w:r>
              <w:rPr>
                <w:b/>
                <w:lang w:val="lv-LV" w:eastAsia="en-US"/>
              </w:rPr>
              <w:t>Latvijas Farmaceitu biedrība</w:t>
            </w:r>
          </w:p>
          <w:p w:rsidR="00EA3841" w:rsidRDefault="00EA3841">
            <w:pPr>
              <w:spacing w:line="276" w:lineRule="auto"/>
              <w:jc w:val="center"/>
              <w:rPr>
                <w:bCs/>
                <w:lang w:val="lv-LV" w:eastAsia="en-US"/>
              </w:rPr>
            </w:pPr>
          </w:p>
          <w:p w:rsidR="00EA3841" w:rsidRDefault="00EA3841">
            <w:pPr>
              <w:spacing w:line="276" w:lineRule="auto"/>
              <w:jc w:val="center"/>
              <w:rPr>
                <w:bCs/>
                <w:lang w:val="lv-LV" w:eastAsia="en-US"/>
              </w:rPr>
            </w:pPr>
            <w:r>
              <w:rPr>
                <w:bCs/>
                <w:sz w:val="22"/>
                <w:lang w:val="lv-LV" w:eastAsia="en-US"/>
              </w:rPr>
              <w:t xml:space="preserve">Pils iela 21, Rīga, </w:t>
            </w:r>
          </w:p>
          <w:p w:rsidR="00EA3841" w:rsidRDefault="00EA3841">
            <w:pPr>
              <w:spacing w:line="276" w:lineRule="auto"/>
              <w:jc w:val="center"/>
              <w:rPr>
                <w:bCs/>
                <w:lang w:val="lv-LV" w:eastAsia="en-US"/>
              </w:rPr>
            </w:pPr>
            <w:r>
              <w:rPr>
                <w:bCs/>
                <w:sz w:val="22"/>
                <w:lang w:val="lv-LV" w:eastAsia="en-US"/>
              </w:rPr>
              <w:t xml:space="preserve">LV </w:t>
            </w:r>
            <w:r>
              <w:rPr>
                <w:bCs/>
                <w:color w:val="000000"/>
                <w:sz w:val="22"/>
                <w:szCs w:val="22"/>
                <w:lang w:val="lv-LV" w:eastAsia="en-US"/>
              </w:rPr>
              <w:t xml:space="preserve">– </w:t>
            </w:r>
            <w:r>
              <w:rPr>
                <w:bCs/>
                <w:sz w:val="22"/>
                <w:lang w:val="lv-LV" w:eastAsia="en-US"/>
              </w:rPr>
              <w:t>1050</w:t>
            </w:r>
          </w:p>
        </w:tc>
        <w:tc>
          <w:tcPr>
            <w:tcW w:w="3770" w:type="dxa"/>
          </w:tcPr>
          <w:p w:rsidR="00EA3841" w:rsidRDefault="0098163A">
            <w:pPr>
              <w:spacing w:line="276" w:lineRule="auto"/>
              <w:jc w:val="center"/>
              <w:rPr>
                <w:b/>
                <w:bCs/>
                <w:lang w:val="lv-LV" w:eastAsia="en-US"/>
              </w:rPr>
            </w:pPr>
            <w:r>
              <w:rPr>
                <w:b/>
                <w:bCs/>
                <w:szCs w:val="22"/>
                <w:lang w:val="lv-LV" w:eastAsia="en-US"/>
              </w:rPr>
              <w:t>Latvijas Patentbrīvo M</w:t>
            </w:r>
            <w:r w:rsidR="00EA3841">
              <w:rPr>
                <w:b/>
                <w:bCs/>
                <w:szCs w:val="22"/>
                <w:lang w:val="lv-LV" w:eastAsia="en-US"/>
              </w:rPr>
              <w:t>edikamentu</w:t>
            </w:r>
            <w:r>
              <w:rPr>
                <w:b/>
                <w:bCs/>
                <w:szCs w:val="22"/>
                <w:lang w:val="lv-LV" w:eastAsia="en-US"/>
              </w:rPr>
              <w:t xml:space="preserve"> A</w:t>
            </w:r>
            <w:r w:rsidR="00EA3841">
              <w:rPr>
                <w:b/>
                <w:bCs/>
                <w:szCs w:val="22"/>
                <w:lang w:val="lv-LV" w:eastAsia="en-US"/>
              </w:rPr>
              <w:t>sociācija</w:t>
            </w:r>
          </w:p>
          <w:p w:rsidR="00EA3841" w:rsidRDefault="00EA3841">
            <w:pPr>
              <w:spacing w:line="276" w:lineRule="auto"/>
              <w:jc w:val="center"/>
              <w:rPr>
                <w:bCs/>
                <w:lang w:val="lv-LV" w:eastAsia="en-US"/>
              </w:rPr>
            </w:pPr>
          </w:p>
          <w:p w:rsidR="00EA3841" w:rsidRDefault="0098163A">
            <w:pPr>
              <w:spacing w:line="276" w:lineRule="auto"/>
              <w:jc w:val="center"/>
              <w:rPr>
                <w:bCs/>
                <w:lang w:val="lv-LV" w:eastAsia="en-US"/>
              </w:rPr>
            </w:pPr>
            <w:r>
              <w:rPr>
                <w:bCs/>
                <w:sz w:val="22"/>
                <w:szCs w:val="22"/>
                <w:lang w:val="lv-LV" w:eastAsia="en-US"/>
              </w:rPr>
              <w:t>Krišjāņa Valdemāra iela 33-29</w:t>
            </w:r>
            <w:r w:rsidR="00EA3841">
              <w:rPr>
                <w:bCs/>
                <w:sz w:val="22"/>
                <w:szCs w:val="22"/>
                <w:lang w:val="lv-LV" w:eastAsia="en-US"/>
              </w:rPr>
              <w:t xml:space="preserve">, </w:t>
            </w:r>
          </w:p>
          <w:p w:rsidR="00EA3841" w:rsidRDefault="00EA3841">
            <w:pPr>
              <w:spacing w:line="276" w:lineRule="auto"/>
              <w:jc w:val="center"/>
              <w:rPr>
                <w:bCs/>
                <w:lang w:eastAsia="en-US"/>
              </w:rPr>
            </w:pPr>
            <w:r>
              <w:rPr>
                <w:bCs/>
                <w:sz w:val="22"/>
                <w:szCs w:val="22"/>
                <w:lang w:eastAsia="en-US"/>
              </w:rPr>
              <w:t>Rīga, LV–1010</w:t>
            </w:r>
          </w:p>
          <w:p w:rsidR="00EA3841" w:rsidRDefault="00EA3841">
            <w:pPr>
              <w:spacing w:line="276" w:lineRule="auto"/>
              <w:jc w:val="center"/>
              <w:rPr>
                <w:lang w:eastAsia="en-US"/>
              </w:rPr>
            </w:pPr>
          </w:p>
        </w:tc>
        <w:tc>
          <w:tcPr>
            <w:tcW w:w="3520" w:type="dxa"/>
          </w:tcPr>
          <w:p w:rsidR="00EA3841" w:rsidRDefault="00EA3841">
            <w:pPr>
              <w:spacing w:line="276" w:lineRule="auto"/>
              <w:jc w:val="center"/>
              <w:rPr>
                <w:b/>
                <w:lang w:val="lv-LV" w:eastAsia="en-US"/>
              </w:rPr>
            </w:pPr>
            <w:r>
              <w:rPr>
                <w:b/>
                <w:lang w:val="lv-LV" w:eastAsia="en-US"/>
              </w:rPr>
              <w:t>Starptautisko inovatīvo farmaceitisko firmu asociācija</w:t>
            </w:r>
          </w:p>
          <w:p w:rsidR="00EA3841" w:rsidRDefault="00EA3841">
            <w:pPr>
              <w:spacing w:line="276" w:lineRule="auto"/>
              <w:jc w:val="center"/>
              <w:rPr>
                <w:bCs/>
                <w:color w:val="000000"/>
                <w:lang w:val="lv-LV" w:eastAsia="en-US"/>
              </w:rPr>
            </w:pPr>
          </w:p>
          <w:p w:rsidR="00EA3841" w:rsidRDefault="00EA3841">
            <w:pPr>
              <w:spacing w:line="276" w:lineRule="auto"/>
              <w:jc w:val="center"/>
              <w:rPr>
                <w:bCs/>
                <w:color w:val="000000"/>
                <w:lang w:val="lv-LV" w:eastAsia="en-US"/>
              </w:rPr>
            </w:pPr>
            <w:r>
              <w:rPr>
                <w:bCs/>
                <w:color w:val="000000"/>
                <w:sz w:val="22"/>
                <w:szCs w:val="22"/>
                <w:lang w:val="lv-LV" w:eastAsia="en-US"/>
              </w:rPr>
              <w:t>Skolas iela 3, Rīga, LV – 1010</w:t>
            </w:r>
          </w:p>
          <w:p w:rsidR="00EA3841" w:rsidRDefault="00EA3841">
            <w:pPr>
              <w:spacing w:line="276" w:lineRule="auto"/>
              <w:jc w:val="center"/>
              <w:rPr>
                <w:lang w:val="lv-LV" w:eastAsia="en-US"/>
              </w:rPr>
            </w:pPr>
          </w:p>
        </w:tc>
      </w:tr>
    </w:tbl>
    <w:p w:rsidR="00EA3841" w:rsidRDefault="004F5ABB" w:rsidP="00EA3841">
      <w:pPr>
        <w:jc w:val="center"/>
        <w:rPr>
          <w:b/>
          <w:lang w:val="lv-LV"/>
        </w:rPr>
      </w:pPr>
      <w:r w:rsidRPr="004F5ABB">
        <w:rPr>
          <w:noProof/>
          <w:lang w:val="de-DE" w:eastAsia="de-DE"/>
        </w:rPr>
        <w:pict>
          <v:line id="Line 3" o:spid="_x0000_s1026" style="position:absolute;left:0;text-align:left;z-index:251658240;visibility:visible;mso-wrap-distance-top:-6e-5mm;mso-wrap-distance-bottom:-6e-5mm;mso-position-horizontal-relative:text;mso-position-vertical-relative:text" from="0,4.15pt" to="4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THGA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iahsn0xhWQUKmtDb3Rk3o1z5p+d0jpqiVqzyPDt7OBsixUJO9KwsYZwN/1XzSDHHLwOo7p&#10;1NguQMIA0Cmqcb6pwU8eUfg4Sx8eFymIRoezhBRDobHOf+a6QyEosQTOEZgcn50PREgxpIT/KL0R&#10;UkaxpUJ9iafzLEJ3BlpnOxmLnZaChcRQ4ux+V0mLjiRYJz6xQzi5T7P6oFgEbjlh62vsiZCXGIhI&#10;FfCgLaB2jS7e+LFIF+v5ep6P8slsPcrTuh592lT5aLbJHh/qaV1VdfYzUMvyohWMcRXYDT7N8r/z&#10;wfXGXBx2c+ptJMl79Dg7IDu8I+moa5DyYoqdZuetHfQGa8bk6zUK3r/fQ3x/2Ve/AAAA//8DAFBL&#10;AwQUAAYACAAAACEAs0co2dgAAAAEAQAADwAAAGRycy9kb3ducmV2LnhtbEyP0U7CQBBF3038h82Y&#10;+CZbRQ3UbgmQEEP0RfQDhnZoG7qzTXeA9u8dfdHHkzu590y2GHxrztTHJrCD+0kChrgIZcOVg6/P&#10;zd0MTBTkEtvA5GCkCIv8+irDtAwX/qDzTiqjJRxTdFCLdKm1sajJY5yEjlizQ+g9imJf2bLHi5b7&#10;1j4kybP12LAu1NjRuqbiuDt5B3JMXt9WuBmX/rCVaj4Wfrt+d+72Zli+gBEa5O8YfvRVHXJ12ocT&#10;l9G0DvQRcTCbgtFw/vSovP9lm2f2v3z+DQAA//8DAFBLAQItABQABgAIAAAAIQC2gziS/gAAAOEB&#10;AAATAAAAAAAAAAAAAAAAAAAAAABbQ29udGVudF9UeXBlc10ueG1sUEsBAi0AFAAGAAgAAAAhADj9&#10;If/WAAAAlAEAAAsAAAAAAAAAAAAAAAAALwEAAF9yZWxzLy5yZWxzUEsBAi0AFAAGAAgAAAAhAK7O&#10;1McYAgAANAQAAA4AAAAAAAAAAAAAAAAALgIAAGRycy9lMm9Eb2MueG1sUEsBAi0AFAAGAAgAAAAh&#10;ALNHKNnYAAAABAEAAA8AAAAAAAAAAAAAAAAAcgQAAGRycy9kb3ducmV2LnhtbFBLBQYAAAAABAAE&#10;APMAAAB3BQAAAAA=&#10;" strokeweight="3pt">
            <v:stroke linestyle="thinThin"/>
          </v:line>
        </w:pict>
      </w:r>
    </w:p>
    <w:p w:rsidR="00EA3841" w:rsidRDefault="00EA3841" w:rsidP="00EA3841">
      <w:pPr>
        <w:jc w:val="center"/>
        <w:rPr>
          <w:b/>
          <w:lang w:val="lv-LV"/>
        </w:rPr>
      </w:pPr>
    </w:p>
    <w:p w:rsidR="00EA3841" w:rsidRPr="00EA3841" w:rsidRDefault="006F673D" w:rsidP="00EA3841">
      <w:pPr>
        <w:pStyle w:val="Heading4"/>
        <w:rPr>
          <w:sz w:val="26"/>
        </w:rPr>
      </w:pPr>
      <w:r>
        <w:rPr>
          <w:sz w:val="26"/>
        </w:rPr>
        <w:t>Rīgā</w:t>
      </w:r>
      <w:r w:rsidR="00EA3841">
        <w:rPr>
          <w:sz w:val="26"/>
        </w:rPr>
        <w:t xml:space="preserve">, </w:t>
      </w:r>
      <w:r w:rsidR="00EA3841">
        <w:rPr>
          <w:sz w:val="26"/>
        </w:rPr>
        <w:tab/>
      </w:r>
      <w:r w:rsidR="00EA3841">
        <w:rPr>
          <w:sz w:val="26"/>
        </w:rPr>
        <w:tab/>
      </w:r>
      <w:r w:rsidR="00EA3841">
        <w:rPr>
          <w:sz w:val="26"/>
        </w:rPr>
        <w:tab/>
      </w:r>
      <w:r w:rsidR="00EA3841">
        <w:rPr>
          <w:sz w:val="26"/>
        </w:rPr>
        <w:tab/>
      </w:r>
      <w:r w:rsidR="00EA3841">
        <w:rPr>
          <w:sz w:val="26"/>
        </w:rPr>
        <w:tab/>
      </w:r>
      <w:r w:rsidR="00EA3841">
        <w:rPr>
          <w:sz w:val="26"/>
        </w:rPr>
        <w:tab/>
      </w:r>
      <w:r w:rsidR="00EA3841">
        <w:rPr>
          <w:sz w:val="26"/>
        </w:rPr>
        <w:tab/>
      </w:r>
      <w:r w:rsidR="00EA3841">
        <w:rPr>
          <w:sz w:val="26"/>
        </w:rPr>
        <w:tab/>
      </w:r>
      <w:r w:rsidR="00EA3841" w:rsidRPr="00EA3841">
        <w:rPr>
          <w:sz w:val="26"/>
        </w:rPr>
        <w:t xml:space="preserve">2015.gada </w:t>
      </w:r>
      <w:r>
        <w:rPr>
          <w:sz w:val="26"/>
        </w:rPr>
        <w:t>6.novembrī</w:t>
      </w:r>
    </w:p>
    <w:p w:rsidR="00EA3841" w:rsidRPr="00EA3841" w:rsidRDefault="00EA3841" w:rsidP="00EA3841">
      <w:pPr>
        <w:rPr>
          <w:sz w:val="18"/>
          <w:szCs w:val="18"/>
          <w:lang w:val="lv-LV"/>
        </w:rPr>
      </w:pPr>
    </w:p>
    <w:p w:rsidR="00EA3841" w:rsidRPr="00EA3841" w:rsidRDefault="00EA3841" w:rsidP="00EA3841">
      <w:pPr>
        <w:pStyle w:val="Heading4"/>
        <w:rPr>
          <w:sz w:val="28"/>
          <w:szCs w:val="28"/>
        </w:rPr>
      </w:pPr>
    </w:p>
    <w:p w:rsidR="00EA3841" w:rsidRPr="00EA3841" w:rsidRDefault="00EA3841" w:rsidP="00EA3841">
      <w:pPr>
        <w:pStyle w:val="Heading4"/>
        <w:rPr>
          <w:szCs w:val="32"/>
        </w:rPr>
      </w:pPr>
      <w:r w:rsidRPr="00EA3841">
        <w:rPr>
          <w:szCs w:val="32"/>
        </w:rPr>
        <w:t xml:space="preserve">DEKLARĀCIJA </w:t>
      </w:r>
    </w:p>
    <w:p w:rsidR="00EA3841" w:rsidRPr="00EA3841" w:rsidRDefault="00EA3841" w:rsidP="00EA3841">
      <w:pPr>
        <w:jc w:val="center"/>
        <w:rPr>
          <w:b/>
          <w:sz w:val="16"/>
          <w:lang w:val="lv-LV"/>
        </w:rPr>
      </w:pPr>
    </w:p>
    <w:p w:rsidR="00EA3841" w:rsidRPr="00EA3841" w:rsidRDefault="00EA3841" w:rsidP="00EA3841">
      <w:pPr>
        <w:pStyle w:val="Heading5"/>
        <w:rPr>
          <w:szCs w:val="28"/>
        </w:rPr>
      </w:pPr>
      <w:r w:rsidRPr="00EA3841">
        <w:rPr>
          <w:szCs w:val="28"/>
        </w:rPr>
        <w:t xml:space="preserve">PAR FARMACEItu un farmācijas rūpniecības </w:t>
      </w:r>
    </w:p>
    <w:p w:rsidR="00EA3841" w:rsidRPr="00EA3841" w:rsidRDefault="00EA3841" w:rsidP="00EA3841">
      <w:pPr>
        <w:pStyle w:val="Heading5"/>
        <w:rPr>
          <w:szCs w:val="28"/>
        </w:rPr>
      </w:pPr>
      <w:r w:rsidRPr="00EA3841">
        <w:rPr>
          <w:szCs w:val="28"/>
        </w:rPr>
        <w:t>SAskarsmes un ētikas principiem</w:t>
      </w:r>
    </w:p>
    <w:p w:rsidR="00EA3841" w:rsidRPr="00EA3841" w:rsidRDefault="00EA3841" w:rsidP="00EA3841">
      <w:pPr>
        <w:rPr>
          <w:b/>
          <w:sz w:val="18"/>
          <w:szCs w:val="18"/>
          <w:u w:val="single"/>
          <w:lang w:val="lv-LV"/>
        </w:rPr>
      </w:pPr>
    </w:p>
    <w:p w:rsidR="00EA3841" w:rsidRPr="00EA3841" w:rsidRDefault="00EA3841" w:rsidP="00EA3841">
      <w:pPr>
        <w:rPr>
          <w:b/>
          <w:sz w:val="18"/>
          <w:szCs w:val="18"/>
          <w:u w:val="single"/>
          <w:lang w:val="lv-LV"/>
        </w:rPr>
      </w:pPr>
    </w:p>
    <w:p w:rsidR="00EA3841" w:rsidRPr="00EA3841" w:rsidRDefault="00EA3841" w:rsidP="00EA3841">
      <w:pPr>
        <w:pStyle w:val="Heading1"/>
        <w:jc w:val="both"/>
        <w:rPr>
          <w:u w:val="none"/>
        </w:rPr>
      </w:pPr>
      <w:r w:rsidRPr="00EA3841">
        <w:rPr>
          <w:u w:val="none"/>
        </w:rPr>
        <w:t>Ievads</w:t>
      </w:r>
    </w:p>
    <w:p w:rsidR="00EA3841" w:rsidRPr="00EA3841" w:rsidRDefault="00EA3841" w:rsidP="00EA3841">
      <w:pPr>
        <w:jc w:val="both"/>
        <w:rPr>
          <w:lang w:val="lv-LV"/>
        </w:rPr>
      </w:pPr>
    </w:p>
    <w:p w:rsidR="00EA3841" w:rsidRPr="00EA3841" w:rsidRDefault="00EA3841" w:rsidP="00EA3841">
      <w:pPr>
        <w:numPr>
          <w:ilvl w:val="0"/>
          <w:numId w:val="5"/>
        </w:numPr>
        <w:tabs>
          <w:tab w:val="num" w:pos="360"/>
        </w:tabs>
        <w:ind w:left="360"/>
        <w:jc w:val="both"/>
        <w:rPr>
          <w:lang w:val="lv-LV"/>
        </w:rPr>
      </w:pPr>
      <w:r w:rsidRPr="00EA3841">
        <w:rPr>
          <w:lang w:val="lv-LV"/>
        </w:rPr>
        <w:t xml:space="preserve">Farmaceiti, ko pārstāv </w:t>
      </w:r>
      <w:r w:rsidRPr="00EA3841">
        <w:rPr>
          <w:b/>
          <w:bCs/>
          <w:lang w:val="lv-LV"/>
        </w:rPr>
        <w:t>Latvijas Farmaceitu biedrība</w:t>
      </w:r>
      <w:r w:rsidRPr="00EA3841">
        <w:rPr>
          <w:lang w:val="lv-LV"/>
        </w:rPr>
        <w:t xml:space="preserve"> (LFB), un farmācijas rūpniecība, ko pārstāv </w:t>
      </w:r>
      <w:r w:rsidRPr="00EA3841">
        <w:rPr>
          <w:b/>
          <w:bCs/>
          <w:lang w:val="lv-LV"/>
        </w:rPr>
        <w:t>Starptautisko inovatīvo farmaceitisko firmu asociācija</w:t>
      </w:r>
      <w:r w:rsidRPr="00EA3841">
        <w:rPr>
          <w:lang w:val="lv-LV"/>
        </w:rPr>
        <w:t xml:space="preserve"> (SIFFA) un </w:t>
      </w:r>
      <w:r w:rsidR="0098163A">
        <w:rPr>
          <w:b/>
          <w:bCs/>
          <w:lang w:val="lv-LV"/>
        </w:rPr>
        <w:t>Latvijas Patentbrīvo M</w:t>
      </w:r>
      <w:r w:rsidRPr="00EA3841">
        <w:rPr>
          <w:b/>
          <w:bCs/>
          <w:lang w:val="lv-LV"/>
        </w:rPr>
        <w:t xml:space="preserve">edikamentu </w:t>
      </w:r>
      <w:r w:rsidR="0098163A">
        <w:rPr>
          <w:b/>
          <w:bCs/>
          <w:lang w:val="lv-LV"/>
        </w:rPr>
        <w:t>A</w:t>
      </w:r>
      <w:r w:rsidRPr="00EA3841">
        <w:rPr>
          <w:b/>
          <w:bCs/>
          <w:lang w:val="lv-LV"/>
        </w:rPr>
        <w:t>sociācija</w:t>
      </w:r>
      <w:r w:rsidRPr="00EA3841">
        <w:rPr>
          <w:lang w:val="lv-LV"/>
        </w:rPr>
        <w:t xml:space="preserve"> (LPMA), apzinās savu atbildību pret pacientiem un sabiedrību, un uzskata par būtisku iedibināt tādu kārtību, kas Latvijā kalpos par vadlīniju attiecību veidošanai starp farmaceitiem un farmācijas firmām.</w:t>
      </w:r>
    </w:p>
    <w:p w:rsidR="00EA3841" w:rsidRPr="00EA3841" w:rsidRDefault="00EA3841" w:rsidP="00EA3841">
      <w:pPr>
        <w:numPr>
          <w:ilvl w:val="0"/>
          <w:numId w:val="5"/>
        </w:numPr>
        <w:tabs>
          <w:tab w:val="num" w:pos="360"/>
        </w:tabs>
        <w:ind w:left="360"/>
        <w:jc w:val="both"/>
        <w:rPr>
          <w:lang w:val="lv-LV"/>
        </w:rPr>
      </w:pPr>
      <w:r w:rsidRPr="00EA3841">
        <w:rPr>
          <w:lang w:val="lv-LV"/>
        </w:rPr>
        <w:t>Sadarbība starp farmaceitiem un farmācijas firmām ir svarīga un nepieciešama visās zāļu izstrādes un izmantošanas stadijās, lai garantētu pacientu drošību un terapijas efektivitāti.</w:t>
      </w:r>
    </w:p>
    <w:p w:rsidR="00EA3841" w:rsidRPr="00EA3841" w:rsidRDefault="00EA3841" w:rsidP="00EA3841">
      <w:pPr>
        <w:numPr>
          <w:ilvl w:val="0"/>
          <w:numId w:val="5"/>
        </w:numPr>
        <w:tabs>
          <w:tab w:val="num" w:pos="360"/>
        </w:tabs>
        <w:ind w:left="360"/>
        <w:jc w:val="both"/>
        <w:rPr>
          <w:lang w:val="lv-LV"/>
        </w:rPr>
      </w:pPr>
      <w:r w:rsidRPr="00EA3841">
        <w:rPr>
          <w:lang w:val="lv-LV"/>
        </w:rPr>
        <w:t>Ir vitāli svarīgi, lai sadarbība starp farmaceitiem un farmācijas firmām tiktu balstīta uz vispārējiem principiem, tā īstenojot augstus ētikas standartus un pacientu tiesības un respektējot sabiedrības intereses, kā arī nodrošinot abu pušu neatkarību savu darbību veikšanā.</w:t>
      </w:r>
    </w:p>
    <w:p w:rsidR="00EA3841" w:rsidRPr="00EA3841" w:rsidRDefault="00EA3841" w:rsidP="00EA3841">
      <w:pPr>
        <w:numPr>
          <w:ilvl w:val="0"/>
          <w:numId w:val="5"/>
        </w:numPr>
        <w:tabs>
          <w:tab w:val="num" w:pos="360"/>
        </w:tabs>
        <w:ind w:left="360"/>
        <w:jc w:val="both"/>
        <w:rPr>
          <w:lang w:val="lv-LV"/>
        </w:rPr>
      </w:pPr>
      <w:r w:rsidRPr="00EA3841">
        <w:rPr>
          <w:lang w:val="lv-LV"/>
        </w:rPr>
        <w:t>Lai nodrošinātu abu pušu neatkarību un uzticamību, nepieciešama sadarbības caurskatāmība. Tāpēc jebkādas attiecības, kas rada interešu konfliktus vai var tikt uzskatītas par interešu konfliktus radošām, publiski jāapspriež un turpmāk jānovērš.</w:t>
      </w:r>
    </w:p>
    <w:p w:rsidR="00EA3841" w:rsidRPr="00EA3841" w:rsidRDefault="00EA3841" w:rsidP="00EA3841">
      <w:pPr>
        <w:numPr>
          <w:ilvl w:val="0"/>
          <w:numId w:val="5"/>
        </w:numPr>
        <w:tabs>
          <w:tab w:val="num" w:pos="360"/>
        </w:tabs>
        <w:ind w:left="360"/>
        <w:jc w:val="both"/>
        <w:rPr>
          <w:lang w:val="lv-LV"/>
        </w:rPr>
      </w:pPr>
      <w:r w:rsidRPr="00EA3841">
        <w:rPr>
          <w:lang w:val="lv-LV"/>
        </w:rPr>
        <w:t>Valsts institūcijas ir nodibinājušas juridisku sistēmu, ar kuru zināmās jomās sadarbība tiek regulēta. Papildus juridiskajiem nosacījumiem LFB, SIFFA un LPMA uzskata par nepieciešamu stiprināt abu pušu ētisko principu ievērošanu. Farmaceitiem un farmācijas firmām ir apstiprināti to pieņemtie ētikas principi, kas piemērojami to darbībai. Šī kopējā deklarācija nosaka abu pušu kopējos principus attiecībā uz vissvarīgākajiem aspektiem, kas īstenojami jebkādos sadarbības veidos.</w:t>
      </w:r>
    </w:p>
    <w:p w:rsidR="00EA3841" w:rsidRPr="00EA3841" w:rsidRDefault="00EA3841" w:rsidP="00EA3841">
      <w:pPr>
        <w:numPr>
          <w:ilvl w:val="0"/>
          <w:numId w:val="5"/>
        </w:numPr>
        <w:tabs>
          <w:tab w:val="num" w:pos="360"/>
        </w:tabs>
        <w:ind w:left="360"/>
        <w:jc w:val="both"/>
        <w:rPr>
          <w:lang w:val="lv-LV"/>
        </w:rPr>
      </w:pPr>
      <w:r w:rsidRPr="00EA3841">
        <w:rPr>
          <w:lang w:val="lv-LV"/>
        </w:rPr>
        <w:t>Šīs deklarācijas aptvertās jomas ir:</w:t>
      </w:r>
    </w:p>
    <w:p w:rsidR="00EA3841" w:rsidRPr="00EA3841" w:rsidRDefault="00EA3841" w:rsidP="00EA3841">
      <w:pPr>
        <w:numPr>
          <w:ilvl w:val="1"/>
          <w:numId w:val="5"/>
        </w:numPr>
        <w:tabs>
          <w:tab w:val="clear" w:pos="720"/>
          <w:tab w:val="num" w:pos="900"/>
        </w:tabs>
        <w:ind w:left="900" w:hanging="540"/>
        <w:jc w:val="both"/>
        <w:rPr>
          <w:lang w:val="lv-LV"/>
        </w:rPr>
      </w:pPr>
      <w:r w:rsidRPr="00EA3841">
        <w:rPr>
          <w:lang w:val="lv-LV"/>
        </w:rPr>
        <w:t>informācija par zālēm un zāļu reklāma,</w:t>
      </w:r>
    </w:p>
    <w:p w:rsidR="00EA3841" w:rsidRPr="00EA3841" w:rsidRDefault="00EA3841" w:rsidP="00EA3841">
      <w:pPr>
        <w:numPr>
          <w:ilvl w:val="1"/>
          <w:numId w:val="5"/>
        </w:numPr>
        <w:tabs>
          <w:tab w:val="clear" w:pos="720"/>
          <w:tab w:val="num" w:pos="900"/>
        </w:tabs>
        <w:ind w:left="900" w:hanging="540"/>
        <w:jc w:val="both"/>
        <w:rPr>
          <w:lang w:val="lv-LV"/>
        </w:rPr>
      </w:pPr>
      <w:r w:rsidRPr="00EA3841">
        <w:rPr>
          <w:lang w:val="lv-LV"/>
        </w:rPr>
        <w:t xml:space="preserve">farmācijas firmu organizētās vai </w:t>
      </w:r>
      <w:r w:rsidR="00613A8F">
        <w:rPr>
          <w:lang w:val="lv-LV"/>
        </w:rPr>
        <w:t>atbalstīta</w:t>
      </w:r>
      <w:r w:rsidRPr="00EA3841">
        <w:rPr>
          <w:lang w:val="lv-LV"/>
        </w:rPr>
        <w:t>s sapulces,</w:t>
      </w:r>
    </w:p>
    <w:p w:rsidR="00EA3841" w:rsidRPr="00EA3841" w:rsidRDefault="00EA3841" w:rsidP="00EA3841">
      <w:pPr>
        <w:numPr>
          <w:ilvl w:val="1"/>
          <w:numId w:val="5"/>
        </w:numPr>
        <w:tabs>
          <w:tab w:val="clear" w:pos="720"/>
          <w:tab w:val="num" w:pos="900"/>
        </w:tabs>
        <w:ind w:left="900" w:hanging="540"/>
        <w:jc w:val="both"/>
        <w:rPr>
          <w:lang w:val="lv-LV"/>
        </w:rPr>
      </w:pPr>
      <w:r w:rsidRPr="00EA3841">
        <w:rPr>
          <w:lang w:val="lv-LV"/>
        </w:rPr>
        <w:t>konsultācijas.</w:t>
      </w:r>
    </w:p>
    <w:p w:rsidR="00EA3841" w:rsidRPr="00EA3841" w:rsidRDefault="00EA3841" w:rsidP="00EA3841">
      <w:pPr>
        <w:jc w:val="both"/>
        <w:rPr>
          <w:lang w:val="lv-LV"/>
        </w:rPr>
      </w:pPr>
    </w:p>
    <w:p w:rsidR="00EA3841" w:rsidRPr="00EA3841" w:rsidRDefault="00EA3841" w:rsidP="00EA3841">
      <w:pPr>
        <w:pStyle w:val="Heading2"/>
        <w:jc w:val="both"/>
        <w:rPr>
          <w:b w:val="0"/>
        </w:rPr>
      </w:pPr>
    </w:p>
    <w:p w:rsidR="00EA3841" w:rsidRPr="00EA3841" w:rsidRDefault="00EA3841" w:rsidP="00EA3841">
      <w:pPr>
        <w:pStyle w:val="Heading2"/>
        <w:jc w:val="both"/>
        <w:rPr>
          <w:b w:val="0"/>
        </w:rPr>
      </w:pPr>
    </w:p>
    <w:p w:rsidR="00EA3841" w:rsidRPr="00EA3841" w:rsidRDefault="00EA3841" w:rsidP="00EA3841">
      <w:pPr>
        <w:pStyle w:val="Heading2"/>
        <w:jc w:val="both"/>
      </w:pPr>
      <w:r w:rsidRPr="00EA3841">
        <w:t>Informācija par zālēm/farmaceitiskajiem produktiem un zāļu reklāma</w:t>
      </w:r>
    </w:p>
    <w:p w:rsidR="00EA3841" w:rsidRPr="00EA3841" w:rsidRDefault="00EA3841" w:rsidP="00EA3841">
      <w:pPr>
        <w:jc w:val="both"/>
        <w:rPr>
          <w:lang w:val="lv-LV"/>
        </w:rPr>
      </w:pPr>
    </w:p>
    <w:p w:rsidR="00EA3841" w:rsidRPr="00EA3841" w:rsidRDefault="00EA3841" w:rsidP="00EA3841">
      <w:pPr>
        <w:numPr>
          <w:ilvl w:val="0"/>
          <w:numId w:val="5"/>
        </w:numPr>
        <w:tabs>
          <w:tab w:val="num" w:pos="360"/>
        </w:tabs>
        <w:ind w:left="360"/>
        <w:jc w:val="both"/>
        <w:rPr>
          <w:lang w:val="lv-LV"/>
        </w:rPr>
      </w:pPr>
      <w:r w:rsidRPr="00EA3841">
        <w:rPr>
          <w:lang w:val="lv-LV"/>
        </w:rPr>
        <w:t>Informācija, ko farmācijas firmas sniedz farmaceitiem, ir būtiska atbilstošai un pareizai zāļu izvēlei pacientu aprūpē. Vienlaikus farmaceitam, pieņemot profesionālus lēmumus, ir jābūt neatkarīgam savā izvēlē. Informācijas un reklāmas materiālu saturam par zālēm jābūt patiesam un precīzam. Tālab abām pusēm jāievēro šādi principi:</w:t>
      </w:r>
    </w:p>
    <w:p w:rsidR="00EA3841" w:rsidRPr="00EA3841" w:rsidRDefault="00EA3841" w:rsidP="00EA3841">
      <w:pPr>
        <w:numPr>
          <w:ilvl w:val="1"/>
          <w:numId w:val="5"/>
        </w:numPr>
        <w:tabs>
          <w:tab w:val="clear" w:pos="720"/>
          <w:tab w:val="num" w:pos="900"/>
        </w:tabs>
        <w:ind w:left="900" w:hanging="540"/>
        <w:jc w:val="both"/>
        <w:rPr>
          <w:lang w:val="lv-LV"/>
        </w:rPr>
      </w:pPr>
      <w:r w:rsidRPr="00EA3841">
        <w:rPr>
          <w:lang w:val="lv-LV"/>
        </w:rPr>
        <w:t>farmācijas firmām:</w:t>
      </w:r>
    </w:p>
    <w:p w:rsidR="00EA3841" w:rsidRPr="00EA3841" w:rsidRDefault="00EA3841" w:rsidP="00EA3841">
      <w:pPr>
        <w:numPr>
          <w:ilvl w:val="0"/>
          <w:numId w:val="6"/>
        </w:numPr>
        <w:tabs>
          <w:tab w:val="clear" w:pos="720"/>
          <w:tab w:val="num" w:pos="1260"/>
        </w:tabs>
        <w:ind w:left="1260"/>
        <w:jc w:val="both"/>
        <w:rPr>
          <w:lang w:val="lv-LV"/>
        </w:rPr>
      </w:pPr>
      <w:r w:rsidRPr="00EA3841">
        <w:rPr>
          <w:lang w:val="lv-LV"/>
        </w:rPr>
        <w:t>jāsniedz korekta un atbilstoša informācija par savām ražotajām zālēm, kas pamatojas uz zinātniskiem pierādījumiem un precīzi apraksta šo zāļu priekšrocības un trūkumus;</w:t>
      </w:r>
    </w:p>
    <w:p w:rsidR="00EA3841" w:rsidRPr="00EA3841" w:rsidRDefault="00EA3841" w:rsidP="00EA3841">
      <w:pPr>
        <w:numPr>
          <w:ilvl w:val="0"/>
          <w:numId w:val="6"/>
        </w:numPr>
        <w:tabs>
          <w:tab w:val="clear" w:pos="720"/>
          <w:tab w:val="num" w:pos="1260"/>
        </w:tabs>
        <w:ind w:left="1260"/>
        <w:jc w:val="both"/>
        <w:rPr>
          <w:lang w:val="lv-LV"/>
        </w:rPr>
      </w:pPr>
      <w:r w:rsidRPr="00EA3841">
        <w:rPr>
          <w:lang w:val="lv-LV"/>
        </w:rPr>
        <w:t>jāpārliecinās, ka pārdošanas pārstāvji un cits farmācijas firmas personāls, kas nodrošina informācijas sniegšanu, ir pietiekami kvalificēts un apmācīts;</w:t>
      </w:r>
    </w:p>
    <w:p w:rsidR="00EA3841" w:rsidRPr="00EA3841" w:rsidRDefault="00EA3841" w:rsidP="00EA3841">
      <w:pPr>
        <w:numPr>
          <w:ilvl w:val="0"/>
          <w:numId w:val="6"/>
        </w:numPr>
        <w:tabs>
          <w:tab w:val="clear" w:pos="720"/>
          <w:tab w:val="num" w:pos="1260"/>
        </w:tabs>
        <w:ind w:left="1260"/>
        <w:jc w:val="both"/>
        <w:rPr>
          <w:lang w:val="lv-LV"/>
        </w:rPr>
      </w:pPr>
      <w:r w:rsidRPr="00EA3841">
        <w:rPr>
          <w:lang w:val="lv-LV"/>
        </w:rPr>
        <w:t>pēc farmaceitu lūguma jāatklāj atbilstošie klīniski zinātniskie dati par savām ražotajām zālēm;</w:t>
      </w:r>
    </w:p>
    <w:p w:rsidR="00EA3841" w:rsidRPr="00EA3841" w:rsidRDefault="00EA3841" w:rsidP="00EA3841">
      <w:pPr>
        <w:numPr>
          <w:ilvl w:val="0"/>
          <w:numId w:val="6"/>
        </w:numPr>
        <w:tabs>
          <w:tab w:val="clear" w:pos="720"/>
          <w:tab w:val="num" w:pos="1260"/>
        </w:tabs>
        <w:ind w:left="1260"/>
        <w:jc w:val="both"/>
        <w:rPr>
          <w:lang w:val="lv-LV"/>
        </w:rPr>
      </w:pPr>
      <w:r w:rsidRPr="00EA3841">
        <w:rPr>
          <w:lang w:val="lv-LV"/>
        </w:rPr>
        <w:t>jāievēro zinātniskie un klīniskie ziņojumi attiecībā uz to ražotajām zālēm pēc tam, kad zāles ir pieejamas tirgū, un bez kavēšanās jāatklāj farmaceitiem svarīgi novērojumi;</w:t>
      </w:r>
    </w:p>
    <w:p w:rsidR="00EA3841" w:rsidRPr="00EA3841" w:rsidRDefault="00EA3841" w:rsidP="00EA3841">
      <w:pPr>
        <w:numPr>
          <w:ilvl w:val="0"/>
          <w:numId w:val="6"/>
        </w:numPr>
        <w:tabs>
          <w:tab w:val="clear" w:pos="720"/>
          <w:tab w:val="num" w:pos="1260"/>
        </w:tabs>
        <w:ind w:left="1260"/>
        <w:jc w:val="both"/>
        <w:rPr>
          <w:lang w:val="lv-LV"/>
        </w:rPr>
      </w:pPr>
      <w:r w:rsidRPr="00EA3841">
        <w:rPr>
          <w:lang w:val="lv-LV"/>
        </w:rPr>
        <w:t>nav jāpiedāvā farmaceitiem nepamatota viesmīlība; nedrīkst piegādāt, piedāvāt vai apsolīt nekādas dāvanas vai naudas līdzekļus; profesionālais atbalsts nedrīkst pārsniegt Zāļu reklamēšanas prakses ētikas kodeksā vai normatīvos aktos minēto vērtību, un tam jāattiecas uz farmaceitisko praksi;</w:t>
      </w:r>
    </w:p>
    <w:p w:rsidR="00EA3841" w:rsidRPr="00EA3841" w:rsidRDefault="00EA3841" w:rsidP="00EA3841">
      <w:pPr>
        <w:numPr>
          <w:ilvl w:val="0"/>
          <w:numId w:val="6"/>
        </w:numPr>
        <w:tabs>
          <w:tab w:val="clear" w:pos="720"/>
          <w:tab w:val="num" w:pos="1260"/>
        </w:tabs>
        <w:ind w:left="1260"/>
        <w:jc w:val="both"/>
        <w:rPr>
          <w:lang w:val="lv-LV"/>
        </w:rPr>
      </w:pPr>
      <w:r w:rsidRPr="00EA3841">
        <w:rPr>
          <w:lang w:val="lv-LV"/>
        </w:rPr>
        <w:t>jābūt korektām pret citiem konkurējošu zāļu ražotājiem, it īpaši, sniedzot attiecīgos preparātus salīdzinošu informāciju un norādot pētījumu rezultātus;</w:t>
      </w:r>
    </w:p>
    <w:p w:rsidR="00EA3841" w:rsidRPr="00EA3841" w:rsidRDefault="00EA3841" w:rsidP="00EA3841">
      <w:pPr>
        <w:numPr>
          <w:ilvl w:val="0"/>
          <w:numId w:val="6"/>
        </w:numPr>
        <w:tabs>
          <w:tab w:val="clear" w:pos="720"/>
          <w:tab w:val="num" w:pos="1260"/>
        </w:tabs>
        <w:ind w:left="1260"/>
        <w:jc w:val="both"/>
        <w:rPr>
          <w:lang w:val="lv-LV"/>
        </w:rPr>
      </w:pPr>
      <w:r w:rsidRPr="00EA3841">
        <w:rPr>
          <w:lang w:val="lv-LV"/>
        </w:rPr>
        <w:t>sniedzot informāciju, firmas pārstāvim skaidri jānodala sava subjektīvā attieksme pret kādu no apskatītajiem jautājumiem no zinātniski pamatotās informācijas.</w:t>
      </w:r>
    </w:p>
    <w:p w:rsidR="00EA3841" w:rsidRPr="00EA3841" w:rsidRDefault="00EA3841" w:rsidP="00EA3841">
      <w:pPr>
        <w:ind w:left="360"/>
        <w:jc w:val="both"/>
        <w:rPr>
          <w:lang w:val="lv-LV"/>
        </w:rPr>
      </w:pPr>
      <w:r w:rsidRPr="00EA3841">
        <w:rPr>
          <w:lang w:val="lv-LV"/>
        </w:rPr>
        <w:t>7.2. Farmaceitiem:</w:t>
      </w:r>
    </w:p>
    <w:p w:rsidR="00EA3841" w:rsidRPr="00EA3841" w:rsidRDefault="00EA3841" w:rsidP="00EA3841">
      <w:pPr>
        <w:numPr>
          <w:ilvl w:val="0"/>
          <w:numId w:val="7"/>
        </w:numPr>
        <w:tabs>
          <w:tab w:val="clear" w:pos="720"/>
          <w:tab w:val="num" w:pos="1260"/>
        </w:tabs>
        <w:ind w:left="1260"/>
        <w:jc w:val="both"/>
        <w:rPr>
          <w:lang w:val="lv-LV"/>
        </w:rPr>
      </w:pPr>
      <w:r w:rsidRPr="00EA3841">
        <w:rPr>
          <w:lang w:val="lv-LV"/>
        </w:rPr>
        <w:t>jāatturas pieņemt nepamatotu viesmīlību, profesionālai praksei neatbilstošas un/vai dārgas dāvanas vai atbalstu;</w:t>
      </w:r>
    </w:p>
    <w:p w:rsidR="00EA3841" w:rsidRPr="00EA3841" w:rsidRDefault="00EA3841" w:rsidP="00EA3841">
      <w:pPr>
        <w:numPr>
          <w:ilvl w:val="0"/>
          <w:numId w:val="7"/>
        </w:numPr>
        <w:tabs>
          <w:tab w:val="clear" w:pos="720"/>
          <w:tab w:val="num" w:pos="1260"/>
        </w:tabs>
        <w:ind w:left="1260"/>
        <w:jc w:val="both"/>
        <w:rPr>
          <w:lang w:val="lv-LV"/>
        </w:rPr>
      </w:pPr>
      <w:r w:rsidRPr="00EA3841">
        <w:rPr>
          <w:lang w:val="lv-LV"/>
        </w:rPr>
        <w:t>jāziņo par zāļu blakusparādībām.</w:t>
      </w:r>
    </w:p>
    <w:p w:rsidR="00EA3841" w:rsidRPr="00EA3841" w:rsidRDefault="00EA3841" w:rsidP="00EA3841">
      <w:pPr>
        <w:jc w:val="both"/>
        <w:rPr>
          <w:lang w:val="lv-LV"/>
        </w:rPr>
      </w:pPr>
    </w:p>
    <w:p w:rsidR="00EA3841" w:rsidRPr="00EA3841" w:rsidRDefault="00EA3841" w:rsidP="00EA3841">
      <w:pPr>
        <w:jc w:val="both"/>
        <w:rPr>
          <w:lang w:val="lv-LV"/>
        </w:rPr>
      </w:pPr>
    </w:p>
    <w:p w:rsidR="00EA3841" w:rsidRPr="00EA3841" w:rsidRDefault="00EA3841" w:rsidP="00EA3841">
      <w:pPr>
        <w:pStyle w:val="Heading2"/>
        <w:jc w:val="both"/>
      </w:pPr>
      <w:r w:rsidRPr="00EA3841">
        <w:t xml:space="preserve">Farmācijas firmu organizētās vai </w:t>
      </w:r>
      <w:r w:rsidR="00613A8F">
        <w:t>atbalstīta</w:t>
      </w:r>
      <w:r w:rsidRPr="00EA3841">
        <w:t>s sapulces</w:t>
      </w:r>
    </w:p>
    <w:p w:rsidR="00EA3841" w:rsidRPr="00EA3841" w:rsidRDefault="00EA3841" w:rsidP="00EA3841">
      <w:pPr>
        <w:jc w:val="both"/>
        <w:rPr>
          <w:lang w:val="lv-LV"/>
        </w:rPr>
      </w:pPr>
    </w:p>
    <w:p w:rsidR="00EA3841" w:rsidRPr="00EA3841" w:rsidRDefault="00EA3841" w:rsidP="00EA3841">
      <w:pPr>
        <w:numPr>
          <w:ilvl w:val="0"/>
          <w:numId w:val="5"/>
        </w:numPr>
        <w:tabs>
          <w:tab w:val="num" w:pos="360"/>
        </w:tabs>
        <w:ind w:left="360"/>
        <w:jc w:val="both"/>
        <w:rPr>
          <w:lang w:val="lv-LV"/>
        </w:rPr>
      </w:pPr>
      <w:r w:rsidRPr="00EA3841">
        <w:rPr>
          <w:lang w:val="lv-LV"/>
        </w:rPr>
        <w:t xml:space="preserve">Farmaceitiskās firmas var rīkot sapulces farmaceitiem vai sponsorēt farmaceitu sapulces. Šādiem pasākumiem jābūt ar skaidru izglītojošu mērķi un saturu atbilstoši LFB noteiktās farmaceitu tālākizglītības prasībām, tālākizglītības pasākumu mērķu un farmaceita kompetenču kataloga saturam. Informācijai, kas sniegta jebkurā šādā sapulcē, jābūt pamatotai ar zinātniskiem un medicīniski pierādītiem datiem. Lektoram ir </w:t>
      </w:r>
      <w:r w:rsidR="00D91344">
        <w:rPr>
          <w:lang w:val="lv-LV"/>
        </w:rPr>
        <w:t>skaidri jānodala sava personiskā</w:t>
      </w:r>
      <w:r w:rsidRPr="00EA3841">
        <w:rPr>
          <w:lang w:val="lv-LV"/>
        </w:rPr>
        <w:t xml:space="preserve"> attieksme pret kādu no apskatītajiem jautājumiem no zinātniski pamatotās informācijas, kā arī jāatturas no tendencioziem paziņojumiem, kuriem nav zinātniska pamatojuma un kuri varētu tikt traktēti (interpretēti) par labu vienam vai otram industrijas pārstāvim.</w:t>
      </w:r>
    </w:p>
    <w:p w:rsidR="00EA3841" w:rsidRPr="00EA3841" w:rsidRDefault="00EA3841" w:rsidP="00EA3841">
      <w:pPr>
        <w:numPr>
          <w:ilvl w:val="0"/>
          <w:numId w:val="5"/>
        </w:numPr>
        <w:tabs>
          <w:tab w:val="num" w:pos="360"/>
        </w:tabs>
        <w:ind w:left="360"/>
        <w:jc w:val="both"/>
        <w:rPr>
          <w:lang w:val="lv-LV"/>
        </w:rPr>
      </w:pPr>
      <w:r w:rsidRPr="00EA3841">
        <w:rPr>
          <w:lang w:val="lv-LV"/>
        </w:rPr>
        <w:t>Paziņojumā par sapulces norisi un/vai ielūgumā skaidri jānorāda pasākuma nolūks. Ja iespējams, jānorāda arī, vai par šo pasākumu ir informētas atbilstošās valsts institūcijas.</w:t>
      </w:r>
    </w:p>
    <w:p w:rsidR="00EA3841" w:rsidRPr="00EA3841" w:rsidRDefault="00EA3841" w:rsidP="00EA3841">
      <w:pPr>
        <w:numPr>
          <w:ilvl w:val="0"/>
          <w:numId w:val="5"/>
        </w:numPr>
        <w:tabs>
          <w:tab w:val="num" w:pos="360"/>
        </w:tabs>
        <w:ind w:left="360"/>
        <w:jc w:val="both"/>
        <w:rPr>
          <w:lang w:val="lv-LV"/>
        </w:rPr>
      </w:pPr>
      <w:r w:rsidRPr="00EA3841">
        <w:rPr>
          <w:lang w:val="lv-LV"/>
        </w:rPr>
        <w:t>Sapulces vietai jāatbilst tās zinātniskajiem mērķiem, un tai nav jāietver nevajadzīga ceļošana.</w:t>
      </w:r>
    </w:p>
    <w:p w:rsidR="00EA3841" w:rsidRPr="00EA3841" w:rsidRDefault="00EA3841" w:rsidP="00EA3841">
      <w:pPr>
        <w:numPr>
          <w:ilvl w:val="0"/>
          <w:numId w:val="5"/>
        </w:numPr>
        <w:tabs>
          <w:tab w:val="num" w:pos="360"/>
        </w:tabs>
        <w:ind w:left="360"/>
        <w:jc w:val="both"/>
        <w:rPr>
          <w:lang w:val="lv-LV"/>
        </w:rPr>
      </w:pPr>
      <w:r w:rsidRPr="00EA3841">
        <w:rPr>
          <w:lang w:val="lv-LV"/>
        </w:rPr>
        <w:t>Farmācijas firma var apmaksāt lektoru darbu, mācību materiālus un telpu izmantošanu, kas nepieciešamas sapulces organizēšanai. Tā var segt arī pasākuma dalības maksu, ceļa izdevumus un dalībnieku izmitināšanu, bet nevar apmaksāt pavadošo personu izdevumus.</w:t>
      </w:r>
    </w:p>
    <w:p w:rsidR="00EA3841" w:rsidRPr="00EA3841" w:rsidRDefault="00EA3841" w:rsidP="00EA3841">
      <w:pPr>
        <w:numPr>
          <w:ilvl w:val="0"/>
          <w:numId w:val="5"/>
        </w:numPr>
        <w:tabs>
          <w:tab w:val="num" w:pos="360"/>
        </w:tabs>
        <w:ind w:left="360"/>
        <w:jc w:val="both"/>
        <w:rPr>
          <w:lang w:val="lv-LV"/>
        </w:rPr>
      </w:pPr>
      <w:r w:rsidRPr="00EA3841">
        <w:rPr>
          <w:lang w:val="lv-LV"/>
        </w:rPr>
        <w:lastRenderedPageBreak/>
        <w:t>Viesmīlībai sapulču laikā jābūt vispārēji pieņemamai, atbilstošai un stingri ierobežotai atbilstoši pasākuma nolūkam. Konkursu, sporta vai izklaides pasākumu organizēšana un sponsorēšana ir aizliegta.</w:t>
      </w:r>
    </w:p>
    <w:p w:rsidR="00EA3841" w:rsidRPr="00EA3841" w:rsidRDefault="00EA3841" w:rsidP="00EA3841">
      <w:pPr>
        <w:numPr>
          <w:ilvl w:val="0"/>
          <w:numId w:val="5"/>
        </w:numPr>
        <w:tabs>
          <w:tab w:val="num" w:pos="360"/>
        </w:tabs>
        <w:ind w:left="360"/>
        <w:jc w:val="both"/>
        <w:rPr>
          <w:lang w:val="lv-LV"/>
        </w:rPr>
      </w:pPr>
      <w:r w:rsidRPr="00EA3841">
        <w:rPr>
          <w:lang w:val="lv-LV"/>
        </w:rPr>
        <w:t xml:space="preserve">Šīs deklarācijas principi ir piemērojami arī pasākumiem, kas tiek organizēti ārpus Latvijas robežām, ja tajos iesaistīti Latvijas farmaceiti. </w:t>
      </w:r>
    </w:p>
    <w:p w:rsidR="00EA3841" w:rsidRPr="00EA3841" w:rsidRDefault="00EA3841" w:rsidP="00EA3841">
      <w:pPr>
        <w:numPr>
          <w:ilvl w:val="0"/>
          <w:numId w:val="5"/>
        </w:numPr>
        <w:tabs>
          <w:tab w:val="num" w:pos="360"/>
        </w:tabs>
        <w:ind w:left="360"/>
        <w:jc w:val="both"/>
        <w:rPr>
          <w:lang w:val="lv-LV"/>
        </w:rPr>
      </w:pPr>
      <w:r w:rsidRPr="00EA3841">
        <w:rPr>
          <w:lang w:val="lv-LV"/>
        </w:rPr>
        <w:t>Publikāciju, lekciju un citu prezentāciju ievadā skaidri jānorāda gan sapulces, gan lektoru atbalstītājs, lai izslēgtu interešu konfliktu.</w:t>
      </w:r>
    </w:p>
    <w:p w:rsidR="00EA3841" w:rsidRPr="00EA3841" w:rsidRDefault="00EA3841" w:rsidP="00EA3841">
      <w:pPr>
        <w:numPr>
          <w:ilvl w:val="0"/>
          <w:numId w:val="5"/>
        </w:numPr>
        <w:tabs>
          <w:tab w:val="num" w:pos="360"/>
        </w:tabs>
        <w:ind w:left="360"/>
        <w:jc w:val="both"/>
        <w:rPr>
          <w:lang w:val="lv-LV"/>
        </w:rPr>
      </w:pPr>
      <w:r w:rsidRPr="00EA3841">
        <w:rPr>
          <w:lang w:val="lv-LV"/>
        </w:rPr>
        <w:t>Farmaceits var saņemt atlīdzību par tādu lekciju lasīšanu vai darba grupu vadīšanu, kuru mērķis ir farmaceitu profesionālo zināšanu un praktisko iemaņu uzlabošana vai pilnveidošana.</w:t>
      </w:r>
    </w:p>
    <w:p w:rsidR="00EA3841" w:rsidRDefault="00EA3841" w:rsidP="00EA3841">
      <w:pPr>
        <w:jc w:val="both"/>
        <w:rPr>
          <w:lang w:val="lv-LV"/>
        </w:rPr>
      </w:pPr>
    </w:p>
    <w:p w:rsidR="00EA3841" w:rsidRDefault="00EA3841" w:rsidP="00EA3841">
      <w:pPr>
        <w:jc w:val="both"/>
        <w:rPr>
          <w:lang w:val="lv-LV"/>
        </w:rPr>
      </w:pPr>
    </w:p>
    <w:p w:rsidR="00EA3841" w:rsidRDefault="00EA3841" w:rsidP="00EA3841">
      <w:pPr>
        <w:jc w:val="both"/>
        <w:rPr>
          <w:b/>
          <w:lang w:val="lv-LV"/>
        </w:rPr>
      </w:pPr>
      <w:r>
        <w:rPr>
          <w:b/>
          <w:lang w:val="lv-LV"/>
        </w:rPr>
        <w:t>Konsultācijas</w:t>
      </w:r>
    </w:p>
    <w:p w:rsidR="00EA3841" w:rsidRDefault="00EA3841" w:rsidP="00EA3841">
      <w:pPr>
        <w:jc w:val="both"/>
        <w:rPr>
          <w:lang w:val="lv-LV"/>
        </w:rPr>
      </w:pPr>
    </w:p>
    <w:p w:rsidR="00EA3841" w:rsidRDefault="00EA3841" w:rsidP="00EA3841">
      <w:pPr>
        <w:numPr>
          <w:ilvl w:val="0"/>
          <w:numId w:val="5"/>
        </w:numPr>
        <w:tabs>
          <w:tab w:val="num" w:pos="360"/>
        </w:tabs>
        <w:ind w:left="360"/>
        <w:jc w:val="both"/>
        <w:rPr>
          <w:lang w:val="lv-LV"/>
        </w:rPr>
      </w:pPr>
      <w:r>
        <w:rPr>
          <w:lang w:val="lv-LV"/>
        </w:rPr>
        <w:t>Farmācijas firmas var lūgt farmaceitus darboties konsultantu statusā. Šajos amatos viņi drīkst sniegt firmām ekspertu pakalpojumus vai padomus.</w:t>
      </w:r>
    </w:p>
    <w:p w:rsidR="00EA3841" w:rsidRDefault="00EA3841" w:rsidP="00EA3841">
      <w:pPr>
        <w:numPr>
          <w:ilvl w:val="0"/>
          <w:numId w:val="5"/>
        </w:numPr>
        <w:tabs>
          <w:tab w:val="num" w:pos="360"/>
        </w:tabs>
        <w:ind w:left="360"/>
        <w:jc w:val="both"/>
        <w:rPr>
          <w:lang w:val="lv-LV"/>
        </w:rPr>
      </w:pPr>
      <w:r>
        <w:rPr>
          <w:lang w:val="lv-LV"/>
        </w:rPr>
        <w:t>Šāda veida sadarbība ar farmācijas firmām nedrīkst apdraudēt iesaistītā farmaceita profesionālo neatkarību; farmaceitam vienmēr jāievēro savs ētiskais pienākums – neatkarīgi pieņemt profesionālus lēmumus un izmantot zāles pacienta interesēs.</w:t>
      </w:r>
    </w:p>
    <w:p w:rsidR="00EA3841" w:rsidRDefault="00EA3841" w:rsidP="00EA3841">
      <w:pPr>
        <w:numPr>
          <w:ilvl w:val="0"/>
          <w:numId w:val="5"/>
        </w:numPr>
        <w:tabs>
          <w:tab w:val="num" w:pos="360"/>
        </w:tabs>
        <w:ind w:left="360"/>
        <w:jc w:val="both"/>
        <w:rPr>
          <w:lang w:val="lv-LV"/>
        </w:rPr>
      </w:pPr>
      <w:r>
        <w:rPr>
          <w:lang w:val="lv-LV"/>
        </w:rPr>
        <w:t>Atlīdzībai par konsultācijām jāattiecas tieši uz veikto darbu.</w:t>
      </w:r>
    </w:p>
    <w:p w:rsidR="00EA3841" w:rsidRDefault="00EA3841" w:rsidP="00EA3841">
      <w:pPr>
        <w:jc w:val="center"/>
        <w:rPr>
          <w:lang w:val="lv-LV"/>
        </w:rPr>
      </w:pPr>
    </w:p>
    <w:p w:rsidR="00EA3841" w:rsidRDefault="00EA3841" w:rsidP="00EA3841">
      <w:pPr>
        <w:jc w:val="center"/>
        <w:rPr>
          <w:lang w:val="lv-LV"/>
        </w:rPr>
      </w:pPr>
    </w:p>
    <w:p w:rsidR="00EA3841" w:rsidRDefault="00EA3841" w:rsidP="00EA3841">
      <w:pPr>
        <w:jc w:val="center"/>
        <w:rPr>
          <w:lang w:val="lv-LV"/>
        </w:rPr>
      </w:pPr>
    </w:p>
    <w:tbl>
      <w:tblPr>
        <w:tblW w:w="0" w:type="auto"/>
        <w:tblLook w:val="04A0"/>
      </w:tblPr>
      <w:tblGrid>
        <w:gridCol w:w="3226"/>
        <w:gridCol w:w="3224"/>
        <w:gridCol w:w="3224"/>
      </w:tblGrid>
      <w:tr w:rsidR="00EA3841" w:rsidTr="00EA3841">
        <w:tc>
          <w:tcPr>
            <w:tcW w:w="3252" w:type="dxa"/>
            <w:hideMark/>
          </w:tcPr>
          <w:p w:rsidR="00EA3841" w:rsidRDefault="00EA3841">
            <w:pPr>
              <w:spacing w:line="276" w:lineRule="auto"/>
              <w:jc w:val="center"/>
              <w:rPr>
                <w:lang w:val="lv-LV" w:eastAsia="en-US"/>
              </w:rPr>
            </w:pPr>
            <w:r>
              <w:rPr>
                <w:lang w:val="lv-LV" w:eastAsia="en-US"/>
              </w:rPr>
              <w:t>________</w:t>
            </w:r>
            <w:r w:rsidR="00D91344">
              <w:rPr>
                <w:lang w:val="lv-LV" w:eastAsia="en-US"/>
              </w:rPr>
              <w:t>__</w:t>
            </w:r>
            <w:r>
              <w:rPr>
                <w:lang w:val="lv-LV" w:eastAsia="en-US"/>
              </w:rPr>
              <w:t>________</w:t>
            </w:r>
          </w:p>
          <w:p w:rsidR="00EA3841" w:rsidRDefault="00EA3841">
            <w:pPr>
              <w:spacing w:line="276" w:lineRule="auto"/>
              <w:jc w:val="center"/>
              <w:rPr>
                <w:lang w:val="lv-LV" w:eastAsia="en-US"/>
              </w:rPr>
            </w:pPr>
            <w:r>
              <w:rPr>
                <w:lang w:val="lv-LV" w:eastAsia="en-US"/>
              </w:rPr>
              <w:t>Kitija Blumfelde,</w:t>
            </w:r>
          </w:p>
          <w:p w:rsidR="00EA3841" w:rsidRDefault="00EA3841">
            <w:pPr>
              <w:spacing w:line="276" w:lineRule="auto"/>
              <w:jc w:val="center"/>
              <w:rPr>
                <w:lang w:val="lv-LV" w:eastAsia="en-US"/>
              </w:rPr>
            </w:pPr>
            <w:r>
              <w:rPr>
                <w:lang w:val="lv-LV" w:eastAsia="en-US"/>
              </w:rPr>
              <w:t>Latvijas Farmaceitu biedrības prezidente</w:t>
            </w:r>
          </w:p>
        </w:tc>
        <w:tc>
          <w:tcPr>
            <w:tcW w:w="3252" w:type="dxa"/>
            <w:hideMark/>
          </w:tcPr>
          <w:p w:rsidR="00EA3841" w:rsidRDefault="00EA3841">
            <w:pPr>
              <w:spacing w:line="276" w:lineRule="auto"/>
              <w:jc w:val="center"/>
              <w:rPr>
                <w:lang w:val="lv-LV" w:eastAsia="en-US"/>
              </w:rPr>
            </w:pPr>
            <w:r>
              <w:rPr>
                <w:lang w:val="lv-LV" w:eastAsia="en-US"/>
              </w:rPr>
              <w:t>________</w:t>
            </w:r>
            <w:r w:rsidR="00D91344">
              <w:rPr>
                <w:lang w:val="lv-LV" w:eastAsia="en-US"/>
              </w:rPr>
              <w:t>_</w:t>
            </w:r>
            <w:r>
              <w:rPr>
                <w:lang w:val="lv-LV" w:eastAsia="en-US"/>
              </w:rPr>
              <w:t>________</w:t>
            </w:r>
          </w:p>
          <w:p w:rsidR="00EA3841" w:rsidRDefault="00EA3841">
            <w:pPr>
              <w:spacing w:line="276" w:lineRule="auto"/>
              <w:jc w:val="center"/>
              <w:rPr>
                <w:lang w:val="lv-LV" w:eastAsia="en-US"/>
              </w:rPr>
            </w:pPr>
            <w:r>
              <w:rPr>
                <w:lang w:val="lv-LV" w:eastAsia="en-US"/>
              </w:rPr>
              <w:t>Imants Sinka,</w:t>
            </w:r>
          </w:p>
          <w:p w:rsidR="00EA3841" w:rsidRDefault="00EA3841">
            <w:pPr>
              <w:spacing w:line="276" w:lineRule="auto"/>
              <w:jc w:val="center"/>
              <w:rPr>
                <w:lang w:val="lv-LV" w:eastAsia="en-US"/>
              </w:rPr>
            </w:pPr>
            <w:r>
              <w:rPr>
                <w:lang w:val="lv-LV" w:eastAsia="en-US"/>
              </w:rPr>
              <w:t>Starptautisko inovatīvo farmaceitisko firmu asociācijas</w:t>
            </w:r>
          </w:p>
          <w:p w:rsidR="00EA3841" w:rsidRDefault="00EA3841">
            <w:pPr>
              <w:spacing w:line="276" w:lineRule="auto"/>
              <w:jc w:val="center"/>
              <w:rPr>
                <w:lang w:val="lv-LV" w:eastAsia="en-US"/>
              </w:rPr>
            </w:pPr>
            <w:r>
              <w:rPr>
                <w:lang w:val="lv-LV" w:eastAsia="en-US"/>
              </w:rPr>
              <w:t>valdes priekšsēdētājs</w:t>
            </w:r>
          </w:p>
        </w:tc>
        <w:tc>
          <w:tcPr>
            <w:tcW w:w="3252" w:type="dxa"/>
            <w:hideMark/>
          </w:tcPr>
          <w:p w:rsidR="00EA3841" w:rsidRDefault="00EA3841">
            <w:pPr>
              <w:spacing w:line="276" w:lineRule="auto"/>
              <w:jc w:val="center"/>
              <w:rPr>
                <w:lang w:val="lv-LV" w:eastAsia="en-US"/>
              </w:rPr>
            </w:pPr>
            <w:r>
              <w:rPr>
                <w:lang w:val="lv-LV" w:eastAsia="en-US"/>
              </w:rPr>
              <w:t>________</w:t>
            </w:r>
            <w:r w:rsidR="00D91344">
              <w:rPr>
                <w:lang w:val="lv-LV" w:eastAsia="en-US"/>
              </w:rPr>
              <w:t>_</w:t>
            </w:r>
            <w:r>
              <w:rPr>
                <w:lang w:val="lv-LV" w:eastAsia="en-US"/>
              </w:rPr>
              <w:t>________</w:t>
            </w:r>
          </w:p>
          <w:p w:rsidR="00EA3841" w:rsidRDefault="00EA3841">
            <w:pPr>
              <w:spacing w:line="276" w:lineRule="auto"/>
              <w:jc w:val="center"/>
              <w:rPr>
                <w:lang w:val="lv-LV" w:eastAsia="en-US"/>
              </w:rPr>
            </w:pPr>
            <w:r>
              <w:rPr>
                <w:lang w:val="lv-LV" w:eastAsia="en-US"/>
              </w:rPr>
              <w:t>Egils Einārs Jurševics,</w:t>
            </w:r>
          </w:p>
          <w:p w:rsidR="00EA3841" w:rsidRDefault="00EA3841">
            <w:pPr>
              <w:spacing w:line="276" w:lineRule="auto"/>
              <w:jc w:val="center"/>
              <w:rPr>
                <w:lang w:val="lv-LV" w:eastAsia="en-US"/>
              </w:rPr>
            </w:pPr>
            <w:r>
              <w:rPr>
                <w:lang w:val="lv-LV" w:eastAsia="en-US"/>
              </w:rPr>
              <w:t>Latvijas Patentbrīvo medikamentu asociācijas</w:t>
            </w:r>
          </w:p>
          <w:p w:rsidR="00EA3841" w:rsidRDefault="00EA3841">
            <w:pPr>
              <w:spacing w:line="276" w:lineRule="auto"/>
              <w:jc w:val="center"/>
              <w:rPr>
                <w:lang w:val="lv-LV" w:eastAsia="en-US"/>
              </w:rPr>
            </w:pPr>
            <w:r>
              <w:rPr>
                <w:lang w:val="lv-LV" w:eastAsia="en-US"/>
              </w:rPr>
              <w:t>valdes priekšsēdētājs</w:t>
            </w:r>
          </w:p>
        </w:tc>
      </w:tr>
    </w:tbl>
    <w:p w:rsidR="00EA3841" w:rsidRDefault="00EA3841" w:rsidP="00EA3841">
      <w:pPr>
        <w:jc w:val="center"/>
        <w:rPr>
          <w:lang w:val="lv-LV"/>
        </w:rPr>
      </w:pPr>
    </w:p>
    <w:p w:rsidR="00EA3841" w:rsidRDefault="00EA3841" w:rsidP="00EA3841"/>
    <w:p w:rsidR="00EA3841" w:rsidRDefault="00EA3841" w:rsidP="00EA3841"/>
    <w:p w:rsidR="00EA3841" w:rsidRDefault="00EA3841" w:rsidP="00EA3841"/>
    <w:p w:rsidR="00EA3841" w:rsidRDefault="00EA3841" w:rsidP="00EA3841">
      <w:pPr>
        <w:jc w:val="center"/>
      </w:pPr>
    </w:p>
    <w:p w:rsidR="00EA3841" w:rsidRDefault="00EA3841" w:rsidP="00EA3841">
      <w:pPr>
        <w:jc w:val="center"/>
        <w:rPr>
          <w:lang w:val="lv-LV"/>
        </w:rPr>
      </w:pPr>
      <w:r>
        <w:rPr>
          <w:lang w:val="lv-LV"/>
        </w:rPr>
        <w:t>____</w:t>
      </w:r>
      <w:r w:rsidR="00D91344">
        <w:rPr>
          <w:lang w:val="lv-LV"/>
        </w:rPr>
        <w:t>_</w:t>
      </w:r>
      <w:bookmarkStart w:id="0" w:name="_GoBack"/>
      <w:bookmarkEnd w:id="0"/>
      <w:r>
        <w:rPr>
          <w:lang w:val="lv-LV"/>
        </w:rPr>
        <w:t>____</w:t>
      </w:r>
      <w:r w:rsidR="00D91344">
        <w:rPr>
          <w:lang w:val="lv-LV"/>
        </w:rPr>
        <w:t>_</w:t>
      </w:r>
      <w:r>
        <w:rPr>
          <w:lang w:val="lv-LV"/>
        </w:rPr>
        <w:t>________</w:t>
      </w:r>
      <w:r>
        <w:rPr>
          <w:lang w:val="lv-LV"/>
        </w:rPr>
        <w:tab/>
      </w:r>
      <w:r>
        <w:rPr>
          <w:lang w:val="lv-LV"/>
        </w:rPr>
        <w:tab/>
      </w:r>
      <w:r>
        <w:rPr>
          <w:lang w:val="lv-LV"/>
        </w:rPr>
        <w:tab/>
      </w:r>
      <w:r>
        <w:rPr>
          <w:lang w:val="lv-LV"/>
        </w:rPr>
        <w:tab/>
      </w:r>
      <w:r>
        <w:rPr>
          <w:lang w:val="lv-LV"/>
        </w:rPr>
        <w:tab/>
      </w:r>
      <w:r>
        <w:rPr>
          <w:lang w:val="lv-LV"/>
        </w:rPr>
        <w:tab/>
        <w:t>________</w:t>
      </w:r>
      <w:r w:rsidR="00D91344">
        <w:rPr>
          <w:lang w:val="lv-LV"/>
        </w:rPr>
        <w:t>_____</w:t>
      </w:r>
      <w:r>
        <w:rPr>
          <w:lang w:val="lv-LV"/>
        </w:rPr>
        <w:t>_______</w:t>
      </w:r>
    </w:p>
    <w:p w:rsidR="00EA3841" w:rsidRDefault="00EA3841" w:rsidP="00EA3841">
      <w:pPr>
        <w:ind w:left="720"/>
        <w:rPr>
          <w:lang w:val="lv-LV"/>
        </w:rPr>
      </w:pPr>
      <w:r>
        <w:rPr>
          <w:lang w:val="lv-LV"/>
        </w:rPr>
        <w:t>Sigita Čulkstena,</w:t>
      </w:r>
      <w:r>
        <w:rPr>
          <w:lang w:val="lv-LV"/>
        </w:rPr>
        <w:tab/>
      </w:r>
      <w:r>
        <w:rPr>
          <w:lang w:val="lv-LV"/>
        </w:rPr>
        <w:tab/>
      </w:r>
      <w:r>
        <w:rPr>
          <w:lang w:val="lv-LV"/>
        </w:rPr>
        <w:tab/>
      </w:r>
      <w:r>
        <w:rPr>
          <w:lang w:val="lv-LV"/>
        </w:rPr>
        <w:tab/>
      </w:r>
      <w:r>
        <w:rPr>
          <w:lang w:val="lv-LV"/>
        </w:rPr>
        <w:tab/>
      </w:r>
      <w:r>
        <w:rPr>
          <w:lang w:val="lv-LV"/>
        </w:rPr>
        <w:tab/>
      </w:r>
      <w:r>
        <w:rPr>
          <w:lang w:val="lv-LV"/>
        </w:rPr>
        <w:tab/>
        <w:t>Inta Saprovska,</w:t>
      </w:r>
    </w:p>
    <w:p w:rsidR="00EA3841" w:rsidRDefault="00EA3841" w:rsidP="00EA3841">
      <w:pPr>
        <w:jc w:val="center"/>
        <w:rPr>
          <w:lang w:val="lv-LV"/>
        </w:rPr>
      </w:pPr>
      <w:r>
        <w:rPr>
          <w:lang w:val="lv-LV"/>
        </w:rPr>
        <w:t xml:space="preserve">Latvijas Farmaceitu biedrības </w:t>
      </w:r>
      <w:r>
        <w:rPr>
          <w:lang w:val="lv-LV"/>
        </w:rPr>
        <w:tab/>
      </w:r>
      <w:r>
        <w:rPr>
          <w:lang w:val="lv-LV"/>
        </w:rPr>
        <w:tab/>
      </w:r>
      <w:r>
        <w:rPr>
          <w:lang w:val="lv-LV"/>
        </w:rPr>
        <w:tab/>
      </w:r>
      <w:r>
        <w:rPr>
          <w:lang w:val="lv-LV"/>
        </w:rPr>
        <w:tab/>
        <w:t xml:space="preserve"> Zāļu reklamēšanas Ētikas komisijas</w:t>
      </w:r>
    </w:p>
    <w:p w:rsidR="00EA3841" w:rsidRDefault="00EA3841" w:rsidP="00EA3841">
      <w:pPr>
        <w:rPr>
          <w:lang w:val="lv-LV"/>
        </w:rPr>
      </w:pPr>
      <w:r>
        <w:rPr>
          <w:lang w:val="lv-LV"/>
        </w:rPr>
        <w:t xml:space="preserve">       Ētikas komisijas vadītāja</w:t>
      </w:r>
      <w:r>
        <w:rPr>
          <w:lang w:val="lv-LV"/>
        </w:rPr>
        <w:tab/>
      </w:r>
      <w:r>
        <w:rPr>
          <w:lang w:val="lv-LV"/>
        </w:rPr>
        <w:tab/>
      </w:r>
      <w:r>
        <w:rPr>
          <w:lang w:val="lv-LV"/>
        </w:rPr>
        <w:tab/>
      </w:r>
      <w:r>
        <w:rPr>
          <w:lang w:val="lv-LV"/>
        </w:rPr>
        <w:tab/>
      </w:r>
      <w:r>
        <w:rPr>
          <w:lang w:val="lv-LV"/>
        </w:rPr>
        <w:tab/>
      </w:r>
      <w:r>
        <w:rPr>
          <w:lang w:val="lv-LV"/>
        </w:rPr>
        <w:tab/>
        <w:t xml:space="preserve">             priekšsēdētāja</w:t>
      </w:r>
    </w:p>
    <w:p w:rsidR="00EA3841" w:rsidRDefault="00EA3841" w:rsidP="00EA3841">
      <w:pPr>
        <w:ind w:left="720"/>
        <w:jc w:val="center"/>
        <w:rPr>
          <w:lang w:val="lv-LV"/>
        </w:rPr>
      </w:pPr>
    </w:p>
    <w:p w:rsidR="00EA3841" w:rsidRDefault="00EA3841" w:rsidP="00EA3841">
      <w:pPr>
        <w:rPr>
          <w:lang w:val="lv-LV"/>
        </w:rPr>
      </w:pPr>
    </w:p>
    <w:p w:rsidR="00EA3841" w:rsidRDefault="00EA3841" w:rsidP="00EA3841">
      <w:pPr>
        <w:rPr>
          <w:lang w:val="lv-LV"/>
        </w:rPr>
      </w:pPr>
    </w:p>
    <w:p w:rsidR="000827F7" w:rsidRPr="00EA3841" w:rsidRDefault="000827F7" w:rsidP="00EA3841"/>
    <w:sectPr w:rsidR="000827F7" w:rsidRPr="00EA3841" w:rsidSect="00617D72">
      <w:footerReference w:type="even" r:id="rId10"/>
      <w:footerReference w:type="default" r:id="rId11"/>
      <w:pgSz w:w="11906" w:h="16838"/>
      <w:pgMar w:top="1296" w:right="1152" w:bottom="1296"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DBF" w:rsidRDefault="00E25DBF" w:rsidP="00E063FF">
      <w:r>
        <w:separator/>
      </w:r>
    </w:p>
  </w:endnote>
  <w:endnote w:type="continuationSeparator" w:id="1">
    <w:p w:rsidR="00E25DBF" w:rsidRDefault="00E25DBF" w:rsidP="00E06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36" w:rsidRDefault="004F5ABB">
    <w:pPr>
      <w:pStyle w:val="Footer"/>
      <w:framePr w:wrap="around" w:vAnchor="text" w:hAnchor="margin" w:xAlign="center" w:y="1"/>
      <w:rPr>
        <w:rStyle w:val="PageNumber"/>
      </w:rPr>
    </w:pPr>
    <w:r>
      <w:rPr>
        <w:rStyle w:val="PageNumber"/>
      </w:rPr>
      <w:fldChar w:fldCharType="begin"/>
    </w:r>
    <w:r w:rsidR="000148F2">
      <w:rPr>
        <w:rStyle w:val="PageNumber"/>
      </w:rPr>
      <w:instrText xml:space="preserve">PAGE  </w:instrText>
    </w:r>
    <w:r>
      <w:rPr>
        <w:rStyle w:val="PageNumber"/>
      </w:rPr>
      <w:fldChar w:fldCharType="end"/>
    </w:r>
  </w:p>
  <w:p w:rsidR="00DF3836" w:rsidRDefault="00E25D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36" w:rsidRDefault="004F5ABB">
    <w:pPr>
      <w:pStyle w:val="Footer"/>
      <w:framePr w:wrap="around" w:vAnchor="text" w:hAnchor="margin" w:xAlign="center" w:y="1"/>
      <w:rPr>
        <w:rStyle w:val="PageNumber"/>
      </w:rPr>
    </w:pPr>
    <w:r>
      <w:rPr>
        <w:rStyle w:val="PageNumber"/>
      </w:rPr>
      <w:fldChar w:fldCharType="begin"/>
    </w:r>
    <w:r w:rsidR="000148F2">
      <w:rPr>
        <w:rStyle w:val="PageNumber"/>
      </w:rPr>
      <w:instrText xml:space="preserve">PAGE  </w:instrText>
    </w:r>
    <w:r>
      <w:rPr>
        <w:rStyle w:val="PageNumber"/>
      </w:rPr>
      <w:fldChar w:fldCharType="separate"/>
    </w:r>
    <w:r w:rsidR="0098163A">
      <w:rPr>
        <w:rStyle w:val="PageNumber"/>
        <w:noProof/>
      </w:rPr>
      <w:t>1</w:t>
    </w:r>
    <w:r>
      <w:rPr>
        <w:rStyle w:val="PageNumber"/>
      </w:rPr>
      <w:fldChar w:fldCharType="end"/>
    </w:r>
  </w:p>
  <w:p w:rsidR="00DF3836" w:rsidRDefault="00E25D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DBF" w:rsidRDefault="00E25DBF" w:rsidP="00E063FF">
      <w:r>
        <w:separator/>
      </w:r>
    </w:p>
  </w:footnote>
  <w:footnote w:type="continuationSeparator" w:id="1">
    <w:p w:rsidR="00E25DBF" w:rsidRDefault="00E25DBF" w:rsidP="00E06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47F8"/>
    <w:multiLevelType w:val="multilevel"/>
    <w:tmpl w:val="0298F0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89E4195"/>
    <w:multiLevelType w:val="hybridMultilevel"/>
    <w:tmpl w:val="2D4068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8452A5"/>
    <w:multiLevelType w:val="hybridMultilevel"/>
    <w:tmpl w:val="05D2C5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90284D"/>
    <w:multiLevelType w:val="hybridMultilevel"/>
    <w:tmpl w:val="F8D82D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A752F"/>
    <w:rsid w:val="000148F2"/>
    <w:rsid w:val="000827F7"/>
    <w:rsid w:val="00086429"/>
    <w:rsid w:val="000A1DDA"/>
    <w:rsid w:val="000B3301"/>
    <w:rsid w:val="00134230"/>
    <w:rsid w:val="004A0652"/>
    <w:rsid w:val="004A752F"/>
    <w:rsid w:val="004F5ABB"/>
    <w:rsid w:val="00613A8F"/>
    <w:rsid w:val="00617D72"/>
    <w:rsid w:val="006F673D"/>
    <w:rsid w:val="00703F97"/>
    <w:rsid w:val="00771D00"/>
    <w:rsid w:val="007D1CD2"/>
    <w:rsid w:val="00837C48"/>
    <w:rsid w:val="00911433"/>
    <w:rsid w:val="0098163A"/>
    <w:rsid w:val="009E569A"/>
    <w:rsid w:val="00C176A1"/>
    <w:rsid w:val="00C624D5"/>
    <w:rsid w:val="00C9795C"/>
    <w:rsid w:val="00CF7421"/>
    <w:rsid w:val="00D91344"/>
    <w:rsid w:val="00E063FF"/>
    <w:rsid w:val="00E25DBF"/>
    <w:rsid w:val="00EA3841"/>
    <w:rsid w:val="00EA6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2F"/>
    <w:pPr>
      <w:spacing w:after="0" w:line="240" w:lineRule="auto"/>
    </w:pPr>
    <w:rPr>
      <w:rFonts w:ascii="Times New Roman" w:eastAsia="Times New Roman" w:hAnsi="Times New Roman" w:cs="Times New Roman"/>
      <w:sz w:val="24"/>
      <w:szCs w:val="24"/>
      <w:lang w:val="en-GB" w:eastAsia="lv-LV"/>
    </w:rPr>
  </w:style>
  <w:style w:type="paragraph" w:styleId="Heading1">
    <w:name w:val="heading 1"/>
    <w:basedOn w:val="Normal"/>
    <w:next w:val="Normal"/>
    <w:link w:val="Heading1Char"/>
    <w:qFormat/>
    <w:rsid w:val="004A752F"/>
    <w:pPr>
      <w:keepNext/>
      <w:outlineLvl w:val="0"/>
    </w:pPr>
    <w:rPr>
      <w:b/>
      <w:u w:val="single"/>
      <w:lang w:val="lv-LV"/>
    </w:rPr>
  </w:style>
  <w:style w:type="paragraph" w:styleId="Heading2">
    <w:name w:val="heading 2"/>
    <w:basedOn w:val="Normal"/>
    <w:next w:val="Normal"/>
    <w:link w:val="Heading2Char"/>
    <w:qFormat/>
    <w:rsid w:val="004A752F"/>
    <w:pPr>
      <w:keepNext/>
      <w:outlineLvl w:val="1"/>
    </w:pPr>
    <w:rPr>
      <w:b/>
      <w:lang w:val="lv-LV"/>
    </w:rPr>
  </w:style>
  <w:style w:type="paragraph" w:styleId="Heading4">
    <w:name w:val="heading 4"/>
    <w:basedOn w:val="Normal"/>
    <w:next w:val="Normal"/>
    <w:link w:val="Heading4Char"/>
    <w:qFormat/>
    <w:rsid w:val="004A752F"/>
    <w:pPr>
      <w:keepNext/>
      <w:jc w:val="center"/>
      <w:outlineLvl w:val="3"/>
    </w:pPr>
    <w:rPr>
      <w:b/>
      <w:sz w:val="32"/>
      <w:lang w:val="lv-LV"/>
    </w:rPr>
  </w:style>
  <w:style w:type="paragraph" w:styleId="Heading5">
    <w:name w:val="heading 5"/>
    <w:basedOn w:val="Normal"/>
    <w:next w:val="Normal"/>
    <w:link w:val="Heading5Char"/>
    <w:qFormat/>
    <w:rsid w:val="004A752F"/>
    <w:pPr>
      <w:keepNext/>
      <w:jc w:val="center"/>
      <w:outlineLvl w:val="4"/>
    </w:pPr>
    <w:rPr>
      <w:b/>
      <w:cap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52F"/>
    <w:rPr>
      <w:rFonts w:ascii="Times New Roman" w:eastAsia="Times New Roman" w:hAnsi="Times New Roman" w:cs="Times New Roman"/>
      <w:b/>
      <w:sz w:val="24"/>
      <w:szCs w:val="24"/>
      <w:u w:val="single"/>
      <w:lang w:eastAsia="lv-LV"/>
    </w:rPr>
  </w:style>
  <w:style w:type="character" w:customStyle="1" w:styleId="Heading2Char">
    <w:name w:val="Heading 2 Char"/>
    <w:basedOn w:val="DefaultParagraphFont"/>
    <w:link w:val="Heading2"/>
    <w:rsid w:val="004A752F"/>
    <w:rPr>
      <w:rFonts w:ascii="Times New Roman" w:eastAsia="Times New Roman" w:hAnsi="Times New Roman" w:cs="Times New Roman"/>
      <w:b/>
      <w:sz w:val="24"/>
      <w:szCs w:val="24"/>
      <w:lang w:eastAsia="lv-LV"/>
    </w:rPr>
  </w:style>
  <w:style w:type="character" w:customStyle="1" w:styleId="Heading4Char">
    <w:name w:val="Heading 4 Char"/>
    <w:basedOn w:val="DefaultParagraphFont"/>
    <w:link w:val="Heading4"/>
    <w:rsid w:val="004A752F"/>
    <w:rPr>
      <w:rFonts w:ascii="Times New Roman" w:eastAsia="Times New Roman" w:hAnsi="Times New Roman" w:cs="Times New Roman"/>
      <w:b/>
      <w:sz w:val="32"/>
      <w:szCs w:val="24"/>
      <w:lang w:eastAsia="lv-LV"/>
    </w:rPr>
  </w:style>
  <w:style w:type="character" w:customStyle="1" w:styleId="Heading5Char">
    <w:name w:val="Heading 5 Char"/>
    <w:basedOn w:val="DefaultParagraphFont"/>
    <w:link w:val="Heading5"/>
    <w:rsid w:val="004A752F"/>
    <w:rPr>
      <w:rFonts w:ascii="Times New Roman" w:eastAsia="Times New Roman" w:hAnsi="Times New Roman" w:cs="Times New Roman"/>
      <w:b/>
      <w:caps/>
      <w:sz w:val="28"/>
      <w:szCs w:val="24"/>
      <w:lang w:eastAsia="lv-LV"/>
    </w:rPr>
  </w:style>
  <w:style w:type="character" w:styleId="CommentReference">
    <w:name w:val="annotation reference"/>
    <w:semiHidden/>
    <w:rsid w:val="004A752F"/>
    <w:rPr>
      <w:sz w:val="16"/>
      <w:szCs w:val="16"/>
    </w:rPr>
  </w:style>
  <w:style w:type="paragraph" w:styleId="CommentText">
    <w:name w:val="annotation text"/>
    <w:basedOn w:val="Normal"/>
    <w:link w:val="CommentTextChar"/>
    <w:semiHidden/>
    <w:rsid w:val="004A752F"/>
    <w:rPr>
      <w:sz w:val="20"/>
      <w:szCs w:val="20"/>
    </w:rPr>
  </w:style>
  <w:style w:type="character" w:customStyle="1" w:styleId="CommentTextChar">
    <w:name w:val="Comment Text Char"/>
    <w:basedOn w:val="DefaultParagraphFont"/>
    <w:link w:val="CommentText"/>
    <w:semiHidden/>
    <w:rsid w:val="004A752F"/>
    <w:rPr>
      <w:rFonts w:ascii="Times New Roman" w:eastAsia="Times New Roman" w:hAnsi="Times New Roman" w:cs="Times New Roman"/>
      <w:sz w:val="20"/>
      <w:szCs w:val="20"/>
      <w:lang w:val="en-GB" w:eastAsia="lv-LV"/>
    </w:rPr>
  </w:style>
  <w:style w:type="paragraph" w:styleId="Footer">
    <w:name w:val="footer"/>
    <w:basedOn w:val="Normal"/>
    <w:link w:val="FooterChar"/>
    <w:semiHidden/>
    <w:rsid w:val="004A752F"/>
    <w:pPr>
      <w:tabs>
        <w:tab w:val="center" w:pos="4153"/>
        <w:tab w:val="right" w:pos="8306"/>
      </w:tabs>
    </w:pPr>
  </w:style>
  <w:style w:type="character" w:customStyle="1" w:styleId="FooterChar">
    <w:name w:val="Footer Char"/>
    <w:basedOn w:val="DefaultParagraphFont"/>
    <w:link w:val="Footer"/>
    <w:semiHidden/>
    <w:rsid w:val="004A752F"/>
    <w:rPr>
      <w:rFonts w:ascii="Times New Roman" w:eastAsia="Times New Roman" w:hAnsi="Times New Roman" w:cs="Times New Roman"/>
      <w:sz w:val="24"/>
      <w:szCs w:val="24"/>
      <w:lang w:val="en-GB" w:eastAsia="lv-LV"/>
    </w:rPr>
  </w:style>
  <w:style w:type="character" w:styleId="PageNumber">
    <w:name w:val="page number"/>
    <w:basedOn w:val="DefaultParagraphFont"/>
    <w:semiHidden/>
    <w:rsid w:val="004A752F"/>
  </w:style>
  <w:style w:type="character" w:customStyle="1" w:styleId="bot">
    <w:name w:val="bot"/>
    <w:rsid w:val="004A752F"/>
    <w:rPr>
      <w:sz w:val="12"/>
      <w:szCs w:val="12"/>
    </w:rPr>
  </w:style>
  <w:style w:type="paragraph" w:styleId="BalloonText">
    <w:name w:val="Balloon Text"/>
    <w:basedOn w:val="Normal"/>
    <w:link w:val="BalloonTextChar"/>
    <w:uiPriority w:val="99"/>
    <w:semiHidden/>
    <w:unhideWhenUsed/>
    <w:rsid w:val="004A752F"/>
    <w:rPr>
      <w:rFonts w:ascii="Tahoma" w:hAnsi="Tahoma" w:cs="Tahoma"/>
      <w:sz w:val="16"/>
      <w:szCs w:val="16"/>
    </w:rPr>
  </w:style>
  <w:style w:type="character" w:customStyle="1" w:styleId="BalloonTextChar">
    <w:name w:val="Balloon Text Char"/>
    <w:basedOn w:val="DefaultParagraphFont"/>
    <w:link w:val="BalloonText"/>
    <w:uiPriority w:val="99"/>
    <w:semiHidden/>
    <w:rsid w:val="004A752F"/>
    <w:rPr>
      <w:rFonts w:ascii="Tahoma" w:eastAsia="Times New Roman" w:hAnsi="Tahoma" w:cs="Tahoma"/>
      <w:sz w:val="16"/>
      <w:szCs w:val="16"/>
      <w:lang w:val="en-GB" w:eastAsia="lv-LV"/>
    </w:rPr>
  </w:style>
</w:styles>
</file>

<file path=word/webSettings.xml><?xml version="1.0" encoding="utf-8"?>
<w:webSettings xmlns:r="http://schemas.openxmlformats.org/officeDocument/2006/relationships" xmlns:w="http://schemas.openxmlformats.org/wordprocessingml/2006/main">
  <w:divs>
    <w:div w:id="21277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P6000</cp:lastModifiedBy>
  <cp:revision>2</cp:revision>
  <dcterms:created xsi:type="dcterms:W3CDTF">2015-11-09T18:47:00Z</dcterms:created>
  <dcterms:modified xsi:type="dcterms:W3CDTF">2015-11-09T18:47:00Z</dcterms:modified>
</cp:coreProperties>
</file>