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917"/>
        <w:gridCol w:w="4839"/>
      </w:tblGrid>
      <w:tr w:rsidR="00D475D6" w:rsidRPr="000C3D19" w:rsidTr="00240082">
        <w:trPr>
          <w:trHeight w:val="2066"/>
        </w:trPr>
        <w:tc>
          <w:tcPr>
            <w:tcW w:w="4917" w:type="dxa"/>
            <w:shd w:val="clear" w:color="auto" w:fill="auto"/>
          </w:tcPr>
          <w:p w:rsidR="00D475D6" w:rsidRPr="00033417" w:rsidRDefault="00D475D6" w:rsidP="00240082">
            <w:pPr>
              <w:snapToGrid w:val="0"/>
              <w:rPr>
                <w:lang w:val="en-GB"/>
              </w:rPr>
            </w:pPr>
          </w:p>
          <w:p w:rsidR="00D475D6" w:rsidRPr="000C3D19" w:rsidRDefault="00D475D6" w:rsidP="00240082">
            <w:pPr>
              <w:jc w:val="center"/>
              <w:rPr>
                <w:bCs/>
                <w:sz w:val="16"/>
                <w:lang w:val="en-GB"/>
              </w:rPr>
            </w:pPr>
            <w:r>
              <w:rPr>
                <w:noProof/>
                <w:sz w:val="22"/>
                <w:lang w:val="en-US" w:eastAsia="en-US"/>
              </w:rPr>
              <w:drawing>
                <wp:inline distT="0" distB="0" distL="0" distR="0">
                  <wp:extent cx="1343660" cy="56451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43660" cy="564515"/>
                          </a:xfrm>
                          <a:prstGeom prst="rect">
                            <a:avLst/>
                          </a:prstGeom>
                          <a:solidFill>
                            <a:srgbClr val="FFFFFF"/>
                          </a:solidFill>
                          <a:ln w="9525">
                            <a:noFill/>
                            <a:miter lim="800000"/>
                            <a:headEnd/>
                            <a:tailEnd/>
                          </a:ln>
                        </pic:spPr>
                      </pic:pic>
                    </a:graphicData>
                  </a:graphic>
                </wp:inline>
              </w:drawing>
            </w:r>
          </w:p>
          <w:p w:rsidR="00D475D6" w:rsidRPr="000C3D19" w:rsidRDefault="00D475D6" w:rsidP="00240082">
            <w:pPr>
              <w:jc w:val="center"/>
              <w:rPr>
                <w:bCs/>
                <w:sz w:val="16"/>
                <w:lang w:val="en-GB"/>
              </w:rPr>
            </w:pPr>
          </w:p>
          <w:p w:rsidR="00D475D6" w:rsidRPr="000C3D19" w:rsidRDefault="00D475D6" w:rsidP="00240082">
            <w:pPr>
              <w:jc w:val="center"/>
              <w:rPr>
                <w:bCs/>
                <w:sz w:val="20"/>
                <w:lang w:val="en-GB"/>
              </w:rPr>
            </w:pPr>
            <w:r w:rsidRPr="000C3D19">
              <w:rPr>
                <w:rStyle w:val="Strong"/>
                <w:bCs w:val="0"/>
                <w:sz w:val="22"/>
                <w:lang w:val="en-GB"/>
              </w:rPr>
              <w:t xml:space="preserve">Association of International Research-based Pharmaceutical Manufacturers </w:t>
            </w:r>
          </w:p>
          <w:p w:rsidR="00D01DB6" w:rsidRDefault="00D01DB6" w:rsidP="00240082">
            <w:pPr>
              <w:jc w:val="center"/>
              <w:rPr>
                <w:bCs/>
                <w:sz w:val="20"/>
                <w:lang w:val="en-GB"/>
              </w:rPr>
            </w:pPr>
          </w:p>
          <w:p w:rsidR="00D475D6" w:rsidRPr="000C3D19" w:rsidRDefault="00D475D6" w:rsidP="00240082">
            <w:pPr>
              <w:jc w:val="center"/>
              <w:rPr>
                <w:sz w:val="20"/>
                <w:szCs w:val="20"/>
                <w:lang w:val="en-GB"/>
              </w:rPr>
            </w:pPr>
            <w:proofErr w:type="spellStart"/>
            <w:r w:rsidRPr="000C3D19">
              <w:rPr>
                <w:bCs/>
                <w:sz w:val="20"/>
                <w:szCs w:val="22"/>
                <w:lang w:val="en-GB"/>
              </w:rPr>
              <w:t>Skolas</w:t>
            </w:r>
            <w:proofErr w:type="spellEnd"/>
            <w:r w:rsidRPr="000C3D19">
              <w:rPr>
                <w:bCs/>
                <w:sz w:val="20"/>
                <w:szCs w:val="22"/>
                <w:lang w:val="en-GB"/>
              </w:rPr>
              <w:t xml:space="preserve"> </w:t>
            </w:r>
            <w:proofErr w:type="spellStart"/>
            <w:r w:rsidRPr="000C3D19">
              <w:rPr>
                <w:bCs/>
                <w:sz w:val="20"/>
                <w:szCs w:val="22"/>
                <w:lang w:val="en-GB"/>
              </w:rPr>
              <w:t>iela</w:t>
            </w:r>
            <w:proofErr w:type="spellEnd"/>
            <w:r w:rsidRPr="000C3D19">
              <w:rPr>
                <w:bCs/>
                <w:sz w:val="20"/>
                <w:szCs w:val="22"/>
                <w:lang w:val="en-GB"/>
              </w:rPr>
              <w:t xml:space="preserve"> 3, Riga, LV – 1010</w:t>
            </w:r>
          </w:p>
          <w:p w:rsidR="00D475D6" w:rsidRPr="000C3D19" w:rsidRDefault="00D475D6" w:rsidP="00240082">
            <w:pPr>
              <w:jc w:val="center"/>
              <w:rPr>
                <w:sz w:val="20"/>
                <w:szCs w:val="20"/>
                <w:lang w:val="en-GB"/>
              </w:rPr>
            </w:pPr>
            <w:r w:rsidRPr="00D475D6">
              <w:rPr>
                <w:sz w:val="20"/>
                <w:szCs w:val="20"/>
                <w:lang w:val="en-GB"/>
              </w:rPr>
              <w:t>Phone: + 371 29253093</w:t>
            </w:r>
          </w:p>
          <w:p w:rsidR="00D475D6" w:rsidRPr="000C3D19" w:rsidRDefault="00D475D6" w:rsidP="00240082">
            <w:pPr>
              <w:jc w:val="center"/>
              <w:rPr>
                <w:sz w:val="20"/>
                <w:szCs w:val="20"/>
                <w:lang w:val="en-GB"/>
              </w:rPr>
            </w:pPr>
            <w:r w:rsidRPr="000C3D19">
              <w:rPr>
                <w:sz w:val="20"/>
                <w:szCs w:val="20"/>
                <w:lang w:val="en-GB"/>
              </w:rPr>
              <w:t xml:space="preserve">e-mail: </w:t>
            </w:r>
            <w:hyperlink r:id="rId6" w:history="1">
              <w:r w:rsidRPr="000C3D19">
                <w:rPr>
                  <w:rStyle w:val="Hyperlink"/>
                  <w:sz w:val="20"/>
                  <w:szCs w:val="20"/>
                  <w:lang w:val="en-GB"/>
                </w:rPr>
                <w:t>siffa@siffa.lv</w:t>
              </w:r>
            </w:hyperlink>
          </w:p>
          <w:p w:rsidR="00D475D6" w:rsidRPr="000C3D19" w:rsidRDefault="00D475D6" w:rsidP="00240082">
            <w:pPr>
              <w:jc w:val="center"/>
              <w:rPr>
                <w:lang w:val="en-GB"/>
              </w:rPr>
            </w:pPr>
            <w:r w:rsidRPr="000C3D19">
              <w:rPr>
                <w:sz w:val="20"/>
                <w:szCs w:val="20"/>
                <w:lang w:val="en-GB"/>
              </w:rPr>
              <w:t>web: www.siffa.lv</w:t>
            </w:r>
          </w:p>
        </w:tc>
        <w:tc>
          <w:tcPr>
            <w:tcW w:w="4839" w:type="dxa"/>
            <w:shd w:val="clear" w:color="auto" w:fill="auto"/>
          </w:tcPr>
          <w:p w:rsidR="00D475D6" w:rsidRPr="000C3D19" w:rsidRDefault="00D475D6" w:rsidP="00240082">
            <w:pPr>
              <w:rPr>
                <w:b/>
                <w:bCs/>
                <w:lang w:val="en-GB"/>
              </w:rPr>
            </w:pPr>
            <w:r>
              <w:rPr>
                <w:lang w:val="en-GB"/>
              </w:rPr>
              <w:t xml:space="preserve">                  </w:t>
            </w:r>
            <w:r>
              <w:rPr>
                <w:noProof/>
                <w:lang w:val="en-US" w:eastAsia="en-US"/>
              </w:rPr>
              <w:drawing>
                <wp:inline distT="0" distB="0" distL="0" distR="0">
                  <wp:extent cx="858520" cy="7950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58520" cy="795020"/>
                          </a:xfrm>
                          <a:prstGeom prst="rect">
                            <a:avLst/>
                          </a:prstGeom>
                          <a:solidFill>
                            <a:srgbClr val="FFFFFF"/>
                          </a:solidFill>
                          <a:ln w="9525">
                            <a:noFill/>
                            <a:miter lim="800000"/>
                            <a:headEnd/>
                            <a:tailEnd/>
                          </a:ln>
                        </pic:spPr>
                      </pic:pic>
                    </a:graphicData>
                  </a:graphic>
                </wp:inline>
              </w:drawing>
            </w:r>
          </w:p>
          <w:p w:rsidR="00D475D6" w:rsidRPr="000C3D19" w:rsidRDefault="00D475D6" w:rsidP="00240082">
            <w:pPr>
              <w:jc w:val="center"/>
              <w:rPr>
                <w:sz w:val="20"/>
                <w:szCs w:val="20"/>
                <w:lang w:val="en-GB"/>
              </w:rPr>
            </w:pPr>
            <w:r w:rsidRPr="000C3D19">
              <w:rPr>
                <w:b/>
                <w:bCs/>
                <w:lang w:val="en-GB"/>
              </w:rPr>
              <w:t>Latvian Generic Medicines Association</w:t>
            </w:r>
          </w:p>
          <w:p w:rsidR="00D01DB6" w:rsidRDefault="00D01DB6" w:rsidP="00240082">
            <w:pPr>
              <w:jc w:val="both"/>
              <w:rPr>
                <w:sz w:val="20"/>
                <w:szCs w:val="20"/>
                <w:lang w:val="en-GB"/>
              </w:rPr>
            </w:pPr>
          </w:p>
          <w:p w:rsidR="00D01DB6" w:rsidRPr="00D01DB6" w:rsidRDefault="00D01DB6" w:rsidP="00D01DB6">
            <w:pPr>
              <w:jc w:val="center"/>
              <w:rPr>
                <w:sz w:val="20"/>
                <w:szCs w:val="20"/>
                <w:lang w:val="en-GB"/>
              </w:rPr>
            </w:pPr>
            <w:r w:rsidRPr="00D01DB6">
              <w:rPr>
                <w:sz w:val="20"/>
                <w:szCs w:val="20"/>
                <w:lang w:val="en-GB"/>
              </w:rPr>
              <w:t xml:space="preserve">Legal address: </w:t>
            </w:r>
            <w:proofErr w:type="spellStart"/>
            <w:r w:rsidR="00D475D6" w:rsidRPr="00D01DB6">
              <w:rPr>
                <w:sz w:val="20"/>
                <w:szCs w:val="20"/>
                <w:lang w:val="en-GB"/>
              </w:rPr>
              <w:t>Krisjana</w:t>
            </w:r>
            <w:proofErr w:type="spellEnd"/>
            <w:r w:rsidR="00D475D6" w:rsidRPr="00D01DB6">
              <w:rPr>
                <w:sz w:val="20"/>
                <w:szCs w:val="20"/>
                <w:lang w:val="en-GB"/>
              </w:rPr>
              <w:t xml:space="preserve"> </w:t>
            </w:r>
            <w:proofErr w:type="spellStart"/>
            <w:r w:rsidR="00D475D6" w:rsidRPr="00D01DB6">
              <w:rPr>
                <w:sz w:val="20"/>
                <w:szCs w:val="20"/>
                <w:lang w:val="en-GB"/>
              </w:rPr>
              <w:t>Valdemara</w:t>
            </w:r>
            <w:proofErr w:type="spellEnd"/>
            <w:r w:rsidR="00D475D6" w:rsidRPr="00D01DB6">
              <w:rPr>
                <w:sz w:val="20"/>
                <w:szCs w:val="20"/>
                <w:lang w:val="en-GB"/>
              </w:rPr>
              <w:t xml:space="preserve"> </w:t>
            </w:r>
            <w:proofErr w:type="spellStart"/>
            <w:r w:rsidR="00D475D6" w:rsidRPr="00D01DB6">
              <w:rPr>
                <w:sz w:val="20"/>
                <w:szCs w:val="20"/>
                <w:lang w:val="en-GB"/>
              </w:rPr>
              <w:t>iela</w:t>
            </w:r>
            <w:proofErr w:type="spellEnd"/>
            <w:r w:rsidR="00D475D6" w:rsidRPr="00D01DB6">
              <w:rPr>
                <w:sz w:val="20"/>
                <w:szCs w:val="20"/>
                <w:lang w:val="en-GB"/>
              </w:rPr>
              <w:t xml:space="preserve"> 33-48,</w:t>
            </w:r>
          </w:p>
          <w:p w:rsidR="00D475D6" w:rsidRPr="00D01DB6" w:rsidRDefault="00D475D6" w:rsidP="00D01DB6">
            <w:pPr>
              <w:jc w:val="center"/>
              <w:rPr>
                <w:sz w:val="20"/>
                <w:szCs w:val="20"/>
                <w:lang w:val="en-GB"/>
              </w:rPr>
            </w:pPr>
            <w:r w:rsidRPr="00D01DB6">
              <w:rPr>
                <w:sz w:val="20"/>
                <w:szCs w:val="20"/>
                <w:lang w:val="en-GB"/>
              </w:rPr>
              <w:t>Riga, LV-1010</w:t>
            </w:r>
          </w:p>
          <w:p w:rsidR="00D01DB6" w:rsidRPr="00D01DB6" w:rsidRDefault="00D01DB6" w:rsidP="00D01DB6">
            <w:pPr>
              <w:jc w:val="center"/>
              <w:rPr>
                <w:sz w:val="20"/>
                <w:szCs w:val="20"/>
                <w:lang w:val="en-GB"/>
              </w:rPr>
            </w:pPr>
            <w:r w:rsidRPr="00D01DB6">
              <w:rPr>
                <w:sz w:val="20"/>
                <w:szCs w:val="20"/>
                <w:lang w:val="en-GB"/>
              </w:rPr>
              <w:t xml:space="preserve">For correspondence: </w:t>
            </w:r>
            <w:proofErr w:type="spellStart"/>
            <w:r w:rsidRPr="00D01DB6">
              <w:rPr>
                <w:sz w:val="20"/>
                <w:szCs w:val="20"/>
                <w:lang w:val="en-GB"/>
              </w:rPr>
              <w:t>Krisjana</w:t>
            </w:r>
            <w:proofErr w:type="spellEnd"/>
            <w:r w:rsidRPr="00D01DB6">
              <w:rPr>
                <w:sz w:val="20"/>
                <w:szCs w:val="20"/>
                <w:lang w:val="en-GB"/>
              </w:rPr>
              <w:t xml:space="preserve"> </w:t>
            </w:r>
            <w:proofErr w:type="spellStart"/>
            <w:r w:rsidRPr="00D01DB6">
              <w:rPr>
                <w:sz w:val="20"/>
                <w:szCs w:val="20"/>
                <w:lang w:val="en-GB"/>
              </w:rPr>
              <w:t>Valdemara</w:t>
            </w:r>
            <w:proofErr w:type="spellEnd"/>
            <w:r w:rsidRPr="00D01DB6">
              <w:rPr>
                <w:sz w:val="20"/>
                <w:szCs w:val="20"/>
                <w:lang w:val="en-GB"/>
              </w:rPr>
              <w:t xml:space="preserve"> </w:t>
            </w:r>
            <w:proofErr w:type="spellStart"/>
            <w:r w:rsidRPr="00D01DB6">
              <w:rPr>
                <w:sz w:val="20"/>
                <w:szCs w:val="20"/>
                <w:lang w:val="en-GB"/>
              </w:rPr>
              <w:t>iela</w:t>
            </w:r>
            <w:proofErr w:type="spellEnd"/>
            <w:r w:rsidRPr="00D01DB6">
              <w:rPr>
                <w:sz w:val="20"/>
                <w:szCs w:val="20"/>
                <w:lang w:val="en-GB"/>
              </w:rPr>
              <w:t xml:space="preserve"> 33-29,</w:t>
            </w:r>
          </w:p>
          <w:p w:rsidR="00D01DB6" w:rsidRPr="00D01DB6" w:rsidRDefault="00D01DB6" w:rsidP="00D01DB6">
            <w:pPr>
              <w:jc w:val="center"/>
              <w:rPr>
                <w:sz w:val="20"/>
                <w:szCs w:val="20"/>
                <w:lang w:val="en-GB"/>
              </w:rPr>
            </w:pPr>
            <w:r w:rsidRPr="00D01DB6">
              <w:rPr>
                <w:sz w:val="20"/>
                <w:szCs w:val="20"/>
                <w:lang w:val="en-GB"/>
              </w:rPr>
              <w:t>Riga, LV-1010</w:t>
            </w:r>
          </w:p>
          <w:p w:rsidR="00D475D6" w:rsidRPr="00D01DB6" w:rsidRDefault="00D475D6" w:rsidP="00240082">
            <w:pPr>
              <w:jc w:val="center"/>
              <w:rPr>
                <w:sz w:val="20"/>
                <w:szCs w:val="20"/>
                <w:lang w:val="en-GB"/>
              </w:rPr>
            </w:pPr>
            <w:r w:rsidRPr="00D01DB6">
              <w:rPr>
                <w:sz w:val="20"/>
                <w:szCs w:val="20"/>
                <w:lang w:val="en-GB"/>
              </w:rPr>
              <w:t xml:space="preserve">Phone: + 371 </w:t>
            </w:r>
            <w:r w:rsidR="00D01DB6" w:rsidRPr="00D01DB6">
              <w:rPr>
                <w:sz w:val="20"/>
                <w:szCs w:val="20"/>
              </w:rPr>
              <w:t>27829001</w:t>
            </w:r>
          </w:p>
          <w:p w:rsidR="00D475D6" w:rsidRPr="00D01DB6" w:rsidRDefault="00D475D6" w:rsidP="00240082">
            <w:pPr>
              <w:jc w:val="center"/>
              <w:rPr>
                <w:sz w:val="20"/>
                <w:szCs w:val="20"/>
                <w:lang w:val="en-GB"/>
              </w:rPr>
            </w:pPr>
            <w:r w:rsidRPr="00D01DB6">
              <w:rPr>
                <w:sz w:val="20"/>
                <w:szCs w:val="20"/>
                <w:lang w:val="en-GB"/>
              </w:rPr>
              <w:t>Fax: + 371 67844976</w:t>
            </w:r>
          </w:p>
          <w:p w:rsidR="00D475D6" w:rsidRPr="00D01DB6" w:rsidRDefault="00D475D6" w:rsidP="00240082">
            <w:pPr>
              <w:jc w:val="center"/>
              <w:rPr>
                <w:sz w:val="20"/>
                <w:szCs w:val="20"/>
                <w:lang w:val="en-GB"/>
              </w:rPr>
            </w:pPr>
            <w:r w:rsidRPr="00D01DB6">
              <w:rPr>
                <w:sz w:val="20"/>
                <w:szCs w:val="20"/>
                <w:lang w:val="en-GB"/>
              </w:rPr>
              <w:t xml:space="preserve">e-mail: </w:t>
            </w:r>
            <w:hyperlink r:id="rId8" w:history="1">
              <w:r w:rsidRPr="00D01DB6">
                <w:rPr>
                  <w:rStyle w:val="Hyperlink"/>
                  <w:sz w:val="20"/>
                  <w:szCs w:val="20"/>
                  <w:lang w:val="en-GB"/>
                </w:rPr>
                <w:t>lpma@lpma.lv</w:t>
              </w:r>
            </w:hyperlink>
          </w:p>
          <w:p w:rsidR="00D475D6" w:rsidRPr="000C3D19" w:rsidRDefault="00D475D6" w:rsidP="00240082">
            <w:pPr>
              <w:jc w:val="center"/>
              <w:rPr>
                <w:lang w:val="en-GB"/>
              </w:rPr>
            </w:pPr>
            <w:r w:rsidRPr="00D01DB6">
              <w:rPr>
                <w:sz w:val="20"/>
                <w:szCs w:val="20"/>
                <w:lang w:val="en-GB"/>
              </w:rPr>
              <w:t>web: www.lpma.lv</w:t>
            </w:r>
          </w:p>
        </w:tc>
      </w:tr>
    </w:tbl>
    <w:p w:rsidR="00D475D6" w:rsidRPr="000C3D19" w:rsidRDefault="00D475D6" w:rsidP="00D475D6">
      <w:pPr>
        <w:pStyle w:val="Heading4"/>
        <w:jc w:val="center"/>
        <w:rPr>
          <w:bCs w:val="0"/>
          <w:caps/>
          <w:sz w:val="28"/>
          <w:szCs w:val="28"/>
          <w:lang w:val="en-GB"/>
        </w:rPr>
      </w:pPr>
    </w:p>
    <w:p w:rsidR="00D475D6" w:rsidRPr="000C3D19" w:rsidRDefault="00D475D6" w:rsidP="00D475D6">
      <w:pPr>
        <w:rPr>
          <w:lang w:val="en-GB"/>
        </w:rPr>
      </w:pPr>
    </w:p>
    <w:p w:rsidR="00D475D6" w:rsidRPr="000C3D19" w:rsidRDefault="00D475D6" w:rsidP="00D475D6">
      <w:pPr>
        <w:rPr>
          <w:lang w:val="en-GB"/>
        </w:rPr>
      </w:pPr>
    </w:p>
    <w:p w:rsidR="00D475D6" w:rsidRPr="000C3D19" w:rsidRDefault="00D475D6" w:rsidP="00D475D6">
      <w:pPr>
        <w:rPr>
          <w:lang w:val="en-GB"/>
        </w:rPr>
      </w:pPr>
    </w:p>
    <w:p w:rsidR="00D475D6" w:rsidRPr="000C3D19" w:rsidRDefault="00D475D6" w:rsidP="00D475D6">
      <w:pPr>
        <w:rPr>
          <w:lang w:val="en-GB"/>
        </w:rPr>
      </w:pPr>
    </w:p>
    <w:p w:rsidR="00D475D6" w:rsidRPr="000C3D19" w:rsidRDefault="00D475D6" w:rsidP="00D475D6">
      <w:pPr>
        <w:rPr>
          <w:lang w:val="en-GB"/>
        </w:rPr>
      </w:pPr>
    </w:p>
    <w:p w:rsidR="00D475D6" w:rsidRPr="000C3D19" w:rsidRDefault="00D475D6" w:rsidP="00D475D6">
      <w:pPr>
        <w:rPr>
          <w:lang w:val="en-GB"/>
        </w:rPr>
      </w:pPr>
    </w:p>
    <w:p w:rsidR="00D475D6" w:rsidRPr="000C3D19" w:rsidRDefault="00D475D6" w:rsidP="00D475D6">
      <w:pPr>
        <w:rPr>
          <w:lang w:val="en-GB"/>
        </w:rPr>
      </w:pPr>
    </w:p>
    <w:p w:rsidR="00D475D6" w:rsidRPr="000C3D19" w:rsidRDefault="00D475D6" w:rsidP="00D475D6">
      <w:pPr>
        <w:rPr>
          <w:lang w:val="en-GB"/>
        </w:rPr>
      </w:pPr>
    </w:p>
    <w:p w:rsidR="00D475D6" w:rsidRPr="000C3D19" w:rsidRDefault="00D475D6" w:rsidP="00D475D6">
      <w:pPr>
        <w:rPr>
          <w:lang w:val="en-GB"/>
        </w:rPr>
      </w:pPr>
    </w:p>
    <w:p w:rsidR="00D475D6" w:rsidRPr="000C3D19" w:rsidRDefault="00D475D6" w:rsidP="00D475D6">
      <w:pPr>
        <w:rPr>
          <w:lang w:val="en-GB"/>
        </w:rPr>
      </w:pPr>
    </w:p>
    <w:p w:rsidR="00D475D6" w:rsidRPr="000C3D19" w:rsidRDefault="00D475D6" w:rsidP="00D475D6">
      <w:pPr>
        <w:rPr>
          <w:lang w:val="en-GB"/>
        </w:rPr>
      </w:pPr>
    </w:p>
    <w:p w:rsidR="00D475D6" w:rsidRPr="000C3D19" w:rsidRDefault="00D475D6" w:rsidP="00D475D6">
      <w:pPr>
        <w:pStyle w:val="NormalWeb"/>
        <w:jc w:val="center"/>
        <w:rPr>
          <w:sz w:val="32"/>
          <w:szCs w:val="32"/>
        </w:rPr>
      </w:pPr>
      <w:r w:rsidRPr="000C3D19">
        <w:rPr>
          <w:rStyle w:val="Strong"/>
          <w:bCs w:val="0"/>
          <w:caps/>
          <w:sz w:val="32"/>
          <w:szCs w:val="32"/>
        </w:rPr>
        <w:t>Application Regulations of the Code of Practice on the Promotion of medicinal products</w:t>
      </w:r>
    </w:p>
    <w:p w:rsidR="00D475D6" w:rsidRPr="000C3D19" w:rsidRDefault="00D475D6" w:rsidP="00D475D6">
      <w:pPr>
        <w:pStyle w:val="NormalWeb"/>
      </w:pPr>
    </w:p>
    <w:p w:rsidR="00D475D6" w:rsidRPr="000C3D19" w:rsidRDefault="00D475D6" w:rsidP="00D475D6">
      <w:pPr>
        <w:jc w:val="right"/>
        <w:rPr>
          <w:rStyle w:val="Strong"/>
          <w:b w:val="0"/>
          <w:bCs w:val="0"/>
          <w:i/>
          <w:iCs/>
          <w:sz w:val="22"/>
          <w:lang w:val="en-GB"/>
        </w:rPr>
      </w:pPr>
      <w:r w:rsidRPr="000C3D19">
        <w:rPr>
          <w:rStyle w:val="Strong"/>
          <w:b w:val="0"/>
          <w:bCs w:val="0"/>
          <w:i/>
          <w:iCs/>
          <w:sz w:val="22"/>
          <w:lang w:val="en-GB"/>
        </w:rPr>
        <w:t xml:space="preserve">Approved by the Decision of </w:t>
      </w:r>
    </w:p>
    <w:p w:rsidR="00D475D6" w:rsidRPr="000C3D19" w:rsidRDefault="00D475D6" w:rsidP="00D475D6">
      <w:pPr>
        <w:jc w:val="right"/>
        <w:rPr>
          <w:rStyle w:val="Strong"/>
          <w:b w:val="0"/>
          <w:bCs w:val="0"/>
          <w:i/>
          <w:iCs/>
          <w:sz w:val="22"/>
          <w:lang w:val="en-GB"/>
        </w:rPr>
      </w:pPr>
      <w:proofErr w:type="gramStart"/>
      <w:r w:rsidRPr="000C3D19">
        <w:rPr>
          <w:rStyle w:val="Strong"/>
          <w:b w:val="0"/>
          <w:bCs w:val="0"/>
          <w:i/>
          <w:iCs/>
          <w:sz w:val="22"/>
          <w:lang w:val="en-GB"/>
        </w:rPr>
        <w:t>the</w:t>
      </w:r>
      <w:proofErr w:type="gramEnd"/>
      <w:r w:rsidRPr="000C3D19">
        <w:rPr>
          <w:rStyle w:val="Strong"/>
          <w:b w:val="0"/>
          <w:bCs w:val="0"/>
          <w:i/>
          <w:iCs/>
          <w:sz w:val="22"/>
          <w:lang w:val="en-GB"/>
        </w:rPr>
        <w:t xml:space="preserve"> Meeting of the Members of </w:t>
      </w:r>
    </w:p>
    <w:p w:rsidR="00D475D6" w:rsidRPr="000C3D19" w:rsidRDefault="00D475D6" w:rsidP="00D475D6">
      <w:pPr>
        <w:jc w:val="right"/>
        <w:rPr>
          <w:rStyle w:val="Strong"/>
          <w:b w:val="0"/>
          <w:bCs w:val="0"/>
          <w:i/>
          <w:iCs/>
          <w:sz w:val="22"/>
          <w:lang w:val="en-GB"/>
        </w:rPr>
      </w:pPr>
      <w:r w:rsidRPr="000C3D19">
        <w:rPr>
          <w:rStyle w:val="Strong"/>
          <w:b w:val="0"/>
          <w:bCs w:val="0"/>
          <w:i/>
          <w:iCs/>
          <w:sz w:val="22"/>
          <w:lang w:val="en-GB"/>
        </w:rPr>
        <w:t>Association of International Research-based Pharmaceutical Manufacturers</w:t>
      </w:r>
      <w:r w:rsidRPr="000C3D19">
        <w:rPr>
          <w:rStyle w:val="Strong"/>
          <w:bCs w:val="0"/>
          <w:i/>
          <w:iCs/>
          <w:sz w:val="22"/>
          <w:lang w:val="en-GB"/>
        </w:rPr>
        <w:t xml:space="preserve"> </w:t>
      </w:r>
    </w:p>
    <w:p w:rsidR="00D475D6" w:rsidRPr="00104F3B" w:rsidRDefault="00D475D6" w:rsidP="00D475D6">
      <w:pPr>
        <w:jc w:val="right"/>
        <w:rPr>
          <w:rStyle w:val="Strong"/>
          <w:b w:val="0"/>
          <w:bCs w:val="0"/>
          <w:i/>
          <w:iCs/>
          <w:sz w:val="22"/>
          <w:lang w:val="en-GB"/>
        </w:rPr>
      </w:pPr>
      <w:proofErr w:type="gramStart"/>
      <w:r w:rsidRPr="000C3D19">
        <w:rPr>
          <w:rStyle w:val="Strong"/>
          <w:b w:val="0"/>
          <w:bCs w:val="0"/>
          <w:i/>
          <w:iCs/>
          <w:sz w:val="22"/>
          <w:lang w:val="en-GB"/>
        </w:rPr>
        <w:t>of</w:t>
      </w:r>
      <w:proofErr w:type="gramEnd"/>
      <w:r w:rsidRPr="000C3D19">
        <w:rPr>
          <w:rStyle w:val="Strong"/>
          <w:b w:val="0"/>
          <w:bCs w:val="0"/>
          <w:i/>
          <w:iCs/>
          <w:sz w:val="22"/>
          <w:lang w:val="en-GB"/>
        </w:rPr>
        <w:t xml:space="preserve"> </w:t>
      </w:r>
      <w:r>
        <w:rPr>
          <w:rStyle w:val="Strong"/>
          <w:b w:val="0"/>
          <w:bCs w:val="0"/>
          <w:i/>
          <w:iCs/>
          <w:sz w:val="22"/>
          <w:lang w:val="en-GB"/>
        </w:rPr>
        <w:t>April 16, 2015</w:t>
      </w:r>
    </w:p>
    <w:p w:rsidR="00D475D6" w:rsidRPr="000C3D19" w:rsidRDefault="00D475D6" w:rsidP="00D475D6">
      <w:pPr>
        <w:jc w:val="right"/>
        <w:rPr>
          <w:rStyle w:val="Strong"/>
          <w:b w:val="0"/>
          <w:bCs w:val="0"/>
          <w:i/>
          <w:iCs/>
          <w:sz w:val="22"/>
          <w:lang w:val="en-GB"/>
        </w:rPr>
      </w:pPr>
      <w:proofErr w:type="gramStart"/>
      <w:r w:rsidRPr="000C3D19">
        <w:rPr>
          <w:rStyle w:val="Strong"/>
          <w:b w:val="0"/>
          <w:bCs w:val="0"/>
          <w:i/>
          <w:iCs/>
          <w:sz w:val="22"/>
          <w:lang w:val="en-GB"/>
        </w:rPr>
        <w:t>and</w:t>
      </w:r>
      <w:proofErr w:type="gramEnd"/>
    </w:p>
    <w:p w:rsidR="00D475D6" w:rsidRPr="000C3D19" w:rsidRDefault="00D475D6" w:rsidP="00D475D6">
      <w:pPr>
        <w:jc w:val="right"/>
        <w:rPr>
          <w:rStyle w:val="Strong"/>
          <w:b w:val="0"/>
          <w:bCs w:val="0"/>
          <w:i/>
          <w:iCs/>
          <w:sz w:val="22"/>
          <w:lang w:val="en-GB"/>
        </w:rPr>
      </w:pPr>
      <w:proofErr w:type="gramStart"/>
      <w:r w:rsidRPr="000C3D19">
        <w:rPr>
          <w:rStyle w:val="Strong"/>
          <w:b w:val="0"/>
          <w:bCs w:val="0"/>
          <w:i/>
          <w:iCs/>
          <w:sz w:val="22"/>
          <w:lang w:val="en-GB"/>
        </w:rPr>
        <w:t>by</w:t>
      </w:r>
      <w:proofErr w:type="gramEnd"/>
      <w:r w:rsidRPr="000C3D19">
        <w:rPr>
          <w:rStyle w:val="Strong"/>
          <w:b w:val="0"/>
          <w:bCs w:val="0"/>
          <w:i/>
          <w:iCs/>
          <w:sz w:val="22"/>
          <w:lang w:val="en-GB"/>
        </w:rPr>
        <w:t xml:space="preserve"> the Decision of </w:t>
      </w:r>
    </w:p>
    <w:p w:rsidR="00D475D6" w:rsidRPr="000C3D19" w:rsidRDefault="00D475D6" w:rsidP="00D475D6">
      <w:pPr>
        <w:jc w:val="right"/>
        <w:rPr>
          <w:bCs/>
          <w:i/>
          <w:iCs/>
          <w:sz w:val="22"/>
          <w:szCs w:val="22"/>
          <w:lang w:val="en-GB"/>
        </w:rPr>
      </w:pPr>
      <w:proofErr w:type="gramStart"/>
      <w:r w:rsidRPr="000C3D19">
        <w:rPr>
          <w:rStyle w:val="Strong"/>
          <w:b w:val="0"/>
          <w:bCs w:val="0"/>
          <w:i/>
          <w:iCs/>
          <w:sz w:val="22"/>
          <w:lang w:val="en-GB"/>
        </w:rPr>
        <w:t>the</w:t>
      </w:r>
      <w:proofErr w:type="gramEnd"/>
      <w:r w:rsidRPr="000C3D19">
        <w:rPr>
          <w:rStyle w:val="Strong"/>
          <w:b w:val="0"/>
          <w:bCs w:val="0"/>
          <w:i/>
          <w:iCs/>
          <w:sz w:val="22"/>
          <w:lang w:val="en-GB"/>
        </w:rPr>
        <w:t xml:space="preserve"> Meeting of the Members of </w:t>
      </w:r>
    </w:p>
    <w:p w:rsidR="00D475D6" w:rsidRPr="00104F3B" w:rsidRDefault="00D475D6" w:rsidP="00D475D6">
      <w:pPr>
        <w:jc w:val="right"/>
        <w:rPr>
          <w:lang w:val="en-GB"/>
        </w:rPr>
      </w:pPr>
      <w:r w:rsidRPr="000C3D19">
        <w:rPr>
          <w:bCs/>
          <w:i/>
          <w:iCs/>
          <w:sz w:val="22"/>
          <w:szCs w:val="22"/>
          <w:lang w:val="en-GB"/>
        </w:rPr>
        <w:t xml:space="preserve">Latvian Generic Medicines Association of </w:t>
      </w:r>
      <w:r>
        <w:rPr>
          <w:bCs/>
          <w:i/>
          <w:iCs/>
          <w:sz w:val="22"/>
          <w:szCs w:val="22"/>
          <w:lang w:val="en-GB"/>
        </w:rPr>
        <w:t>April 16, 2015</w:t>
      </w:r>
    </w:p>
    <w:p w:rsidR="00D475D6" w:rsidRPr="000C3D19" w:rsidRDefault="00D475D6" w:rsidP="00D475D6">
      <w:pPr>
        <w:rPr>
          <w:lang w:val="en-GB"/>
        </w:rPr>
      </w:pPr>
    </w:p>
    <w:p w:rsidR="00D475D6" w:rsidRPr="000C3D19" w:rsidRDefault="00D475D6" w:rsidP="00D475D6">
      <w:pPr>
        <w:rPr>
          <w:lang w:val="en-GB"/>
        </w:rPr>
      </w:pPr>
    </w:p>
    <w:p w:rsidR="00D475D6" w:rsidRPr="000C3D19" w:rsidRDefault="00D475D6" w:rsidP="00D475D6">
      <w:pPr>
        <w:rPr>
          <w:lang w:val="en-GB"/>
        </w:rPr>
      </w:pPr>
    </w:p>
    <w:p w:rsidR="00D475D6" w:rsidRPr="000C3D19" w:rsidRDefault="00D475D6" w:rsidP="00D475D6">
      <w:pPr>
        <w:rPr>
          <w:lang w:val="en-GB"/>
        </w:rPr>
      </w:pPr>
    </w:p>
    <w:p w:rsidR="00D475D6" w:rsidRPr="000C3D19" w:rsidRDefault="00D475D6" w:rsidP="00D475D6">
      <w:pPr>
        <w:rPr>
          <w:lang w:val="en-GB"/>
        </w:rPr>
      </w:pPr>
    </w:p>
    <w:p w:rsidR="00D475D6" w:rsidRPr="000C3D19" w:rsidRDefault="00D475D6" w:rsidP="00D475D6">
      <w:pPr>
        <w:rPr>
          <w:lang w:val="en-GB"/>
        </w:rPr>
      </w:pPr>
    </w:p>
    <w:p w:rsidR="00D475D6" w:rsidRPr="000C3D19" w:rsidRDefault="00D475D6" w:rsidP="00D475D6">
      <w:pPr>
        <w:rPr>
          <w:lang w:val="en-GB"/>
        </w:rPr>
      </w:pPr>
    </w:p>
    <w:p w:rsidR="00D475D6" w:rsidRPr="000C3D19" w:rsidRDefault="00D475D6" w:rsidP="00D475D6">
      <w:pPr>
        <w:rPr>
          <w:lang w:val="en-GB"/>
        </w:rPr>
      </w:pPr>
    </w:p>
    <w:p w:rsidR="00D475D6" w:rsidRPr="000C3D19" w:rsidRDefault="00D475D6" w:rsidP="00D475D6">
      <w:pPr>
        <w:rPr>
          <w:lang w:val="en-GB"/>
        </w:rPr>
      </w:pPr>
    </w:p>
    <w:p w:rsidR="00D475D6" w:rsidRPr="000C3D19" w:rsidRDefault="00D475D6" w:rsidP="00D475D6">
      <w:pPr>
        <w:rPr>
          <w:lang w:val="en-GB"/>
        </w:rPr>
      </w:pPr>
    </w:p>
    <w:p w:rsidR="00D475D6" w:rsidRPr="000C3D19" w:rsidRDefault="00D475D6" w:rsidP="00D475D6">
      <w:pPr>
        <w:rPr>
          <w:lang w:val="en-GB"/>
        </w:rPr>
      </w:pPr>
    </w:p>
    <w:p w:rsidR="00D475D6" w:rsidRPr="000C3D19" w:rsidRDefault="00D475D6" w:rsidP="00D475D6">
      <w:pPr>
        <w:rPr>
          <w:lang w:val="en-GB"/>
        </w:rPr>
      </w:pPr>
    </w:p>
    <w:p w:rsidR="00D475D6" w:rsidRPr="000C3D19" w:rsidRDefault="00D475D6" w:rsidP="00D475D6">
      <w:pPr>
        <w:rPr>
          <w:lang w:val="en-GB"/>
        </w:rPr>
      </w:pPr>
    </w:p>
    <w:p w:rsidR="00D475D6" w:rsidRPr="000C3D19" w:rsidRDefault="00D475D6" w:rsidP="00D475D6">
      <w:pPr>
        <w:rPr>
          <w:lang w:val="en-GB"/>
        </w:rPr>
      </w:pPr>
    </w:p>
    <w:p w:rsidR="00D475D6" w:rsidRPr="000C3D19" w:rsidRDefault="00D475D6" w:rsidP="00D475D6">
      <w:pPr>
        <w:jc w:val="center"/>
        <w:rPr>
          <w:rStyle w:val="Strong"/>
          <w:b w:val="0"/>
          <w:bCs w:val="0"/>
          <w:i/>
          <w:iCs/>
          <w:sz w:val="22"/>
          <w:lang w:val="en-GB"/>
        </w:rPr>
      </w:pPr>
      <w:r w:rsidRPr="000C3D19">
        <w:rPr>
          <w:rStyle w:val="Strong"/>
          <w:iCs/>
          <w:sz w:val="22"/>
          <w:lang w:val="en-GB"/>
        </w:rPr>
        <w:t>Riga, 2015</w:t>
      </w:r>
    </w:p>
    <w:p w:rsidR="00D475D6" w:rsidRPr="000C3D19" w:rsidRDefault="00D475D6" w:rsidP="00D475D6">
      <w:pPr>
        <w:jc w:val="center"/>
        <w:rPr>
          <w:lang w:val="en-GB"/>
        </w:rPr>
      </w:pPr>
      <w:r w:rsidRPr="000C3D19">
        <w:rPr>
          <w:rStyle w:val="Strong"/>
          <w:b w:val="0"/>
          <w:bCs w:val="0"/>
          <w:i/>
          <w:iCs/>
          <w:sz w:val="22"/>
          <w:lang w:val="en-GB"/>
        </w:rPr>
        <w:t>(</w:t>
      </w:r>
      <w:proofErr w:type="gramStart"/>
      <w:r w:rsidRPr="000C3D19">
        <w:rPr>
          <w:rStyle w:val="Strong"/>
          <w:b w:val="0"/>
          <w:bCs w:val="0"/>
          <w:i/>
          <w:iCs/>
          <w:sz w:val="22"/>
          <w:lang w:val="en-GB"/>
        </w:rPr>
        <w:t>valid</w:t>
      </w:r>
      <w:proofErr w:type="gramEnd"/>
      <w:r w:rsidRPr="000C3D19">
        <w:rPr>
          <w:rStyle w:val="Strong"/>
          <w:b w:val="0"/>
          <w:bCs w:val="0"/>
          <w:i/>
          <w:iCs/>
          <w:sz w:val="22"/>
          <w:lang w:val="en-GB"/>
        </w:rPr>
        <w:t xml:space="preserve"> since </w:t>
      </w:r>
      <w:r>
        <w:rPr>
          <w:rStyle w:val="Strong"/>
          <w:b w:val="0"/>
          <w:bCs w:val="0"/>
          <w:i/>
          <w:iCs/>
          <w:sz w:val="22"/>
          <w:lang w:val="en-GB"/>
        </w:rPr>
        <w:t>April 17</w:t>
      </w:r>
      <w:r w:rsidRPr="000C3D19">
        <w:rPr>
          <w:rStyle w:val="Strong"/>
          <w:b w:val="0"/>
          <w:bCs w:val="0"/>
          <w:i/>
          <w:iCs/>
          <w:sz w:val="22"/>
          <w:lang w:val="en-GB"/>
        </w:rPr>
        <w:t>, 2015)</w:t>
      </w:r>
    </w:p>
    <w:p w:rsidR="00D475D6" w:rsidRPr="000C3D19" w:rsidRDefault="00D475D6" w:rsidP="00D475D6">
      <w:pPr>
        <w:pageBreakBefore/>
        <w:rPr>
          <w:lang w:val="en-GB"/>
        </w:rPr>
      </w:pPr>
    </w:p>
    <w:p w:rsidR="00D475D6" w:rsidRPr="000C3D19" w:rsidRDefault="00D475D6" w:rsidP="00D475D6">
      <w:pPr>
        <w:rPr>
          <w:lang w:val="en-GB"/>
        </w:rPr>
      </w:pPr>
      <w:r w:rsidRPr="000C3D19">
        <w:rPr>
          <w:rStyle w:val="Strong"/>
          <w:bCs w:val="0"/>
          <w:sz w:val="22"/>
          <w:lang w:val="en-GB"/>
        </w:rPr>
        <w:t>Preamble</w:t>
      </w:r>
    </w:p>
    <w:p w:rsidR="00D475D6" w:rsidRPr="000C3D19" w:rsidRDefault="00D475D6" w:rsidP="00D475D6">
      <w:pPr>
        <w:rPr>
          <w:lang w:val="en-GB"/>
        </w:rPr>
      </w:pPr>
    </w:p>
    <w:p w:rsidR="00D475D6" w:rsidRPr="000C3D19" w:rsidRDefault="00D475D6" w:rsidP="00D475D6">
      <w:pPr>
        <w:rPr>
          <w:rStyle w:val="Strong"/>
          <w:b w:val="0"/>
          <w:bCs w:val="0"/>
          <w:sz w:val="22"/>
          <w:lang w:val="en-GB"/>
        </w:rPr>
      </w:pPr>
      <w:r w:rsidRPr="000C3D19">
        <w:rPr>
          <w:rStyle w:val="Strong"/>
          <w:b w:val="0"/>
          <w:bCs w:val="0"/>
          <w:sz w:val="22"/>
          <w:lang w:val="en-GB"/>
        </w:rPr>
        <w:t xml:space="preserve">The Association of International Research-based Pharmaceutical Manufacturers (hereinafter referred to as ‘SIFFA’), the Latvian Generic Medicines Association (hereinafter referred to as ‘LPMA’) and their members (hereinafter referred to as SIFFA, LPMA and their members jointly referred to as ‘Manufacturers’) have adopted these Regulations providing for application of the provisions of the Code of Practice for the Promotion of Medicinal Products (hereinafter referred to as ‘Code’) and the current legislative acts of the Republic of Latvia in order: </w:t>
      </w:r>
    </w:p>
    <w:p w:rsidR="00D475D6" w:rsidRPr="000C3D19" w:rsidRDefault="00D475D6" w:rsidP="00D475D6">
      <w:pPr>
        <w:rPr>
          <w:rStyle w:val="Strong"/>
          <w:b w:val="0"/>
          <w:bCs w:val="0"/>
          <w:sz w:val="22"/>
          <w:lang w:val="en-GB"/>
        </w:rPr>
      </w:pPr>
      <w:r w:rsidRPr="000C3D19">
        <w:rPr>
          <w:rStyle w:val="Strong"/>
          <w:b w:val="0"/>
          <w:bCs w:val="0"/>
          <w:sz w:val="22"/>
          <w:lang w:val="en-GB"/>
        </w:rPr>
        <w:t xml:space="preserve">(1) To promote introduction of the international and local ethical provisions and pharmaceutical industry’s enactments so that they may apply to all the participants of Latvia’s pharmacy market alike; </w:t>
      </w:r>
    </w:p>
    <w:p w:rsidR="00D475D6" w:rsidRPr="000C3D19" w:rsidRDefault="00D475D6" w:rsidP="00D475D6">
      <w:pPr>
        <w:rPr>
          <w:rStyle w:val="Strong"/>
          <w:b w:val="0"/>
          <w:bCs w:val="0"/>
          <w:sz w:val="22"/>
          <w:lang w:val="en-GB"/>
        </w:rPr>
      </w:pPr>
      <w:r w:rsidRPr="000C3D19">
        <w:rPr>
          <w:rStyle w:val="Strong"/>
          <w:b w:val="0"/>
          <w:bCs w:val="0"/>
          <w:sz w:val="22"/>
          <w:lang w:val="en-GB"/>
        </w:rPr>
        <w:t xml:space="preserve">(2) To ensure a uniform application of the Code in Latvia; </w:t>
      </w:r>
    </w:p>
    <w:p w:rsidR="00D475D6" w:rsidRPr="000C3D19" w:rsidRDefault="00D475D6" w:rsidP="00D475D6">
      <w:pPr>
        <w:rPr>
          <w:lang w:val="en-GB"/>
        </w:rPr>
      </w:pPr>
      <w:r w:rsidRPr="000C3D19">
        <w:rPr>
          <w:rStyle w:val="Strong"/>
          <w:b w:val="0"/>
          <w:bCs w:val="0"/>
          <w:sz w:val="22"/>
          <w:lang w:val="en-GB"/>
        </w:rPr>
        <w:t xml:space="preserve">(3) To facilitate elimination of any violations found and prevention of similar violations henceforth. </w:t>
      </w:r>
    </w:p>
    <w:p w:rsidR="00D475D6" w:rsidRPr="000C3D19" w:rsidRDefault="00D475D6" w:rsidP="00D475D6">
      <w:pPr>
        <w:rPr>
          <w:lang w:val="en-GB"/>
        </w:rPr>
      </w:pPr>
    </w:p>
    <w:p w:rsidR="00D475D6" w:rsidRPr="000C3D19" w:rsidRDefault="00D475D6" w:rsidP="00D475D6">
      <w:pPr>
        <w:rPr>
          <w:lang w:val="en-GB"/>
        </w:rPr>
      </w:pPr>
      <w:r w:rsidRPr="000C3D19">
        <w:rPr>
          <w:rStyle w:val="Strong"/>
          <w:bCs w:val="0"/>
          <w:sz w:val="22"/>
          <w:lang w:val="en-GB"/>
        </w:rPr>
        <w:t xml:space="preserve">Section I. General Provisions </w:t>
      </w:r>
    </w:p>
    <w:p w:rsidR="00D475D6" w:rsidRPr="000C3D19" w:rsidRDefault="00D475D6" w:rsidP="00D475D6">
      <w:pPr>
        <w:rPr>
          <w:lang w:val="en-GB"/>
        </w:rPr>
      </w:pPr>
    </w:p>
    <w:p w:rsidR="00D475D6" w:rsidRPr="000C3D19" w:rsidRDefault="00D475D6" w:rsidP="00D475D6">
      <w:pPr>
        <w:numPr>
          <w:ilvl w:val="0"/>
          <w:numId w:val="1"/>
        </w:numPr>
        <w:rPr>
          <w:rStyle w:val="Strong"/>
          <w:b w:val="0"/>
          <w:bCs w:val="0"/>
          <w:sz w:val="22"/>
          <w:lang w:val="en-GB"/>
        </w:rPr>
      </w:pPr>
      <w:r w:rsidRPr="000C3D19">
        <w:rPr>
          <w:rStyle w:val="Strong"/>
          <w:b w:val="0"/>
          <w:bCs w:val="0"/>
          <w:sz w:val="22"/>
          <w:lang w:val="en-GB"/>
        </w:rPr>
        <w:t xml:space="preserve">All promotional, scientific or professional meetings, congresses, conferences, symposiums and similar events (including, but not limited </w:t>
      </w:r>
      <w:r w:rsidRPr="000C3D19">
        <w:rPr>
          <w:sz w:val="22"/>
          <w:szCs w:val="22"/>
          <w:lang w:val="en-GB"/>
        </w:rPr>
        <w:t>to, advisory board meetings, visits to research or manufacturing facilities, and planning, training or investigator meetings for clinical trials and non-interventional studies</w:t>
      </w:r>
      <w:r w:rsidRPr="000C3D19">
        <w:rPr>
          <w:rStyle w:val="Strong"/>
          <w:b w:val="0"/>
          <w:bCs w:val="0"/>
          <w:sz w:val="22"/>
          <w:lang w:val="en-GB"/>
        </w:rPr>
        <w:t>) (</w:t>
      </w:r>
      <w:r w:rsidRPr="00D475D6">
        <w:rPr>
          <w:rStyle w:val="Strong"/>
          <w:b w:val="0"/>
          <w:sz w:val="22"/>
          <w:lang w:val="en-GB"/>
        </w:rPr>
        <w:t>further in text</w:t>
      </w:r>
      <w:r w:rsidRPr="00D475D6">
        <w:rPr>
          <w:rStyle w:val="Strong"/>
          <w:sz w:val="22"/>
          <w:lang w:val="en-GB"/>
        </w:rPr>
        <w:t xml:space="preserve"> -</w:t>
      </w:r>
      <w:r>
        <w:rPr>
          <w:rStyle w:val="Strong"/>
          <w:b w:val="0"/>
          <w:bCs w:val="0"/>
          <w:sz w:val="22"/>
          <w:lang w:val="en-GB"/>
        </w:rPr>
        <w:t xml:space="preserve"> </w:t>
      </w:r>
      <w:r w:rsidRPr="000C3D19">
        <w:rPr>
          <w:rStyle w:val="Strong"/>
          <w:b w:val="0"/>
          <w:bCs w:val="0"/>
          <w:sz w:val="22"/>
          <w:lang w:val="en-GB"/>
        </w:rPr>
        <w:t xml:space="preserve">“events”), which are organised or sponsored by Pharmaceutical Companies, must be held at appropriate venues corresponding to the main aim of the event, and hospitality allowances may only be offered wherever appropriate and otherwise in compliance with the current provisions of the Code. </w:t>
      </w:r>
    </w:p>
    <w:p w:rsidR="00D475D6" w:rsidRPr="000C3D19" w:rsidRDefault="00D475D6" w:rsidP="00D475D6">
      <w:pPr>
        <w:numPr>
          <w:ilvl w:val="1"/>
          <w:numId w:val="1"/>
        </w:numPr>
        <w:ind w:left="851"/>
        <w:rPr>
          <w:rStyle w:val="Strong"/>
          <w:b w:val="0"/>
          <w:bCs w:val="0"/>
          <w:sz w:val="22"/>
          <w:lang w:val="en-GB"/>
        </w:rPr>
      </w:pPr>
      <w:r w:rsidRPr="000C3D19">
        <w:rPr>
          <w:rStyle w:val="Strong"/>
          <w:b w:val="0"/>
          <w:bCs w:val="0"/>
          <w:sz w:val="22"/>
          <w:lang w:val="en-GB"/>
        </w:rPr>
        <w:t xml:space="preserve">All hospitality allowances related to promotional, professional or scientific events must be restricted to travel, catering, living accommodation and payment for participation (check-in) in an event if any. </w:t>
      </w:r>
    </w:p>
    <w:p w:rsidR="00D475D6" w:rsidRPr="000C3D19" w:rsidRDefault="00D475D6" w:rsidP="00D475D6">
      <w:pPr>
        <w:numPr>
          <w:ilvl w:val="1"/>
          <w:numId w:val="1"/>
        </w:numPr>
        <w:ind w:left="851"/>
        <w:rPr>
          <w:rStyle w:val="Strong"/>
          <w:b w:val="0"/>
          <w:bCs w:val="0"/>
          <w:sz w:val="22"/>
          <w:lang w:val="en-GB"/>
        </w:rPr>
      </w:pPr>
      <w:r w:rsidRPr="000C3D19">
        <w:rPr>
          <w:rStyle w:val="Strong"/>
          <w:b w:val="0"/>
          <w:bCs w:val="0"/>
          <w:sz w:val="22"/>
          <w:lang w:val="en-GB"/>
        </w:rPr>
        <w:t xml:space="preserve">Hospitality may only be extended to such persons registered as the event participants with participant rights. It is not allowed to cover the hospitality-related expenses to any other persons. </w:t>
      </w:r>
    </w:p>
    <w:p w:rsidR="00D475D6" w:rsidRPr="000C3D19" w:rsidRDefault="00D475D6" w:rsidP="00D475D6">
      <w:pPr>
        <w:numPr>
          <w:ilvl w:val="1"/>
          <w:numId w:val="1"/>
        </w:numPr>
        <w:ind w:left="851"/>
        <w:rPr>
          <w:rStyle w:val="Strong"/>
          <w:b w:val="0"/>
          <w:bCs w:val="0"/>
          <w:sz w:val="22"/>
          <w:lang w:val="en-GB"/>
        </w:rPr>
      </w:pPr>
      <w:r w:rsidRPr="000C3D19">
        <w:rPr>
          <w:rStyle w:val="Strong"/>
          <w:b w:val="0"/>
          <w:bCs w:val="0"/>
          <w:sz w:val="22"/>
          <w:lang w:val="en-GB"/>
        </w:rPr>
        <w:t xml:space="preserve">All kinds of hospitality allowances must be in a reasonable amount and strictly confined to the main aim of the event. </w:t>
      </w:r>
    </w:p>
    <w:p w:rsidR="00D475D6" w:rsidRPr="000C3D19" w:rsidRDefault="00D475D6" w:rsidP="00D475D6">
      <w:pPr>
        <w:numPr>
          <w:ilvl w:val="1"/>
          <w:numId w:val="1"/>
        </w:numPr>
        <w:ind w:left="851"/>
        <w:rPr>
          <w:rStyle w:val="Strong"/>
          <w:b w:val="0"/>
          <w:bCs w:val="0"/>
          <w:sz w:val="22"/>
          <w:lang w:val="en-GB"/>
        </w:rPr>
      </w:pPr>
      <w:r w:rsidRPr="000C3D19">
        <w:rPr>
          <w:rStyle w:val="Strong"/>
          <w:b w:val="0"/>
          <w:bCs w:val="0"/>
          <w:sz w:val="22"/>
          <w:lang w:val="en-GB"/>
        </w:rPr>
        <w:t xml:space="preserve">It is generally accepted that the offered hospitality must not be in excess of such an amount that participants would otherwise afford to pay for their own account. </w:t>
      </w:r>
    </w:p>
    <w:p w:rsidR="00D475D6" w:rsidRPr="000C3D19" w:rsidRDefault="00D475D6" w:rsidP="00D475D6">
      <w:pPr>
        <w:numPr>
          <w:ilvl w:val="1"/>
          <w:numId w:val="1"/>
        </w:numPr>
        <w:ind w:left="851"/>
        <w:rPr>
          <w:rStyle w:val="Strong"/>
          <w:b w:val="0"/>
          <w:bCs w:val="0"/>
          <w:sz w:val="22"/>
          <w:lang w:val="en-GB"/>
        </w:rPr>
      </w:pPr>
      <w:r w:rsidRPr="000C3D19">
        <w:rPr>
          <w:rStyle w:val="Strong"/>
          <w:b w:val="0"/>
          <w:bCs w:val="0"/>
          <w:sz w:val="22"/>
          <w:lang w:val="en-GB"/>
        </w:rPr>
        <w:t xml:space="preserve">It is not allowed to offer compensation of the time spent by participants when attending an event. </w:t>
      </w:r>
    </w:p>
    <w:p w:rsidR="00D475D6" w:rsidRPr="000C3D19" w:rsidRDefault="00D475D6" w:rsidP="00D475D6">
      <w:pPr>
        <w:numPr>
          <w:ilvl w:val="1"/>
          <w:numId w:val="1"/>
        </w:numPr>
        <w:ind w:left="851"/>
        <w:rPr>
          <w:rStyle w:val="Strong"/>
          <w:b w:val="0"/>
          <w:bCs w:val="0"/>
          <w:sz w:val="22"/>
          <w:lang w:val="en-GB"/>
        </w:rPr>
      </w:pPr>
      <w:r w:rsidRPr="000C3D19">
        <w:rPr>
          <w:rStyle w:val="Strong"/>
          <w:b w:val="0"/>
          <w:bCs w:val="0"/>
          <w:sz w:val="22"/>
          <w:lang w:val="en-GB"/>
        </w:rPr>
        <w:t xml:space="preserve">Hospitality must not cover sponsorship or organisation of any entertainment events (e.g., sports or recreational events). </w:t>
      </w:r>
    </w:p>
    <w:p w:rsidR="00D475D6" w:rsidRPr="000C3D19" w:rsidRDefault="00D475D6" w:rsidP="00D475D6">
      <w:pPr>
        <w:numPr>
          <w:ilvl w:val="1"/>
          <w:numId w:val="1"/>
        </w:numPr>
        <w:ind w:left="851"/>
        <w:rPr>
          <w:rStyle w:val="Strong"/>
          <w:b w:val="0"/>
          <w:bCs w:val="0"/>
          <w:sz w:val="22"/>
          <w:lang w:val="en-GB"/>
        </w:rPr>
      </w:pPr>
      <w:r w:rsidRPr="000C3D19">
        <w:rPr>
          <w:rStyle w:val="Strong"/>
          <w:b w:val="0"/>
          <w:bCs w:val="0"/>
          <w:sz w:val="22"/>
          <w:lang w:val="en-GB"/>
        </w:rPr>
        <w:t xml:space="preserve">The part of an event, which is not related to its main aim, must not exceed 30% of the whole duration of the event. A Program/Letter of Invitation to an event must contain a precise indication of the time allocated to the main aim of the event and the time allocated to hospitality. </w:t>
      </w:r>
    </w:p>
    <w:p w:rsidR="00D475D6" w:rsidRPr="000C3D19" w:rsidRDefault="00D475D6" w:rsidP="00D475D6">
      <w:pPr>
        <w:numPr>
          <w:ilvl w:val="1"/>
          <w:numId w:val="1"/>
        </w:numPr>
        <w:ind w:left="851"/>
        <w:rPr>
          <w:rStyle w:val="Strong"/>
          <w:b w:val="0"/>
          <w:bCs w:val="0"/>
          <w:sz w:val="22"/>
          <w:lang w:val="en-GB"/>
        </w:rPr>
      </w:pPr>
      <w:r w:rsidRPr="000C3D19">
        <w:rPr>
          <w:rStyle w:val="Strong"/>
          <w:b w:val="0"/>
          <w:bCs w:val="0"/>
          <w:sz w:val="22"/>
          <w:lang w:val="en-GB"/>
        </w:rPr>
        <w:t xml:space="preserve">A Program/Letter of Invitation to an event must contain a precise indication of the event’s organizer and supporter and what exactly is supported. </w:t>
      </w:r>
    </w:p>
    <w:p w:rsidR="00D475D6" w:rsidRPr="000C3D19" w:rsidRDefault="00D475D6" w:rsidP="00D475D6">
      <w:pPr>
        <w:numPr>
          <w:ilvl w:val="1"/>
          <w:numId w:val="1"/>
        </w:numPr>
        <w:ind w:left="851"/>
        <w:rPr>
          <w:rStyle w:val="Strong"/>
          <w:b w:val="0"/>
          <w:bCs w:val="0"/>
          <w:sz w:val="22"/>
          <w:lang w:val="en-GB"/>
        </w:rPr>
      </w:pPr>
      <w:r w:rsidRPr="000C3D19">
        <w:rPr>
          <w:rStyle w:val="Strong"/>
          <w:b w:val="0"/>
          <w:bCs w:val="0"/>
          <w:sz w:val="22"/>
          <w:lang w:val="en-GB"/>
        </w:rPr>
        <w:t xml:space="preserve">The Pharmaceutical Companies must observe the criteria related to the choice of participants and sponsoring their participation in events as provided in the current Code or with regard to the same. </w:t>
      </w:r>
    </w:p>
    <w:p w:rsidR="00D475D6" w:rsidRPr="000C3D19" w:rsidRDefault="00D475D6" w:rsidP="00D475D6">
      <w:pPr>
        <w:numPr>
          <w:ilvl w:val="0"/>
          <w:numId w:val="1"/>
        </w:numPr>
        <w:rPr>
          <w:lang w:val="en-GB"/>
        </w:rPr>
      </w:pPr>
      <w:r w:rsidRPr="000C3D19">
        <w:rPr>
          <w:rStyle w:val="Strong"/>
          <w:b w:val="0"/>
          <w:bCs w:val="0"/>
          <w:sz w:val="22"/>
          <w:lang w:val="en-GB"/>
        </w:rPr>
        <w:t xml:space="preserve">If in doubt about any event’s compliance with the Code or the present Regulations, it is desirable and advisable to turn to the Ethics Commission with a request for comments on the current enactments of the Republic of Latvia, the Code provisions and these Regulations before organising such an event. </w:t>
      </w:r>
    </w:p>
    <w:p w:rsidR="00D475D6" w:rsidRPr="000C3D19" w:rsidRDefault="00D475D6" w:rsidP="00D475D6">
      <w:pPr>
        <w:rPr>
          <w:lang w:val="en-GB"/>
        </w:rPr>
      </w:pPr>
    </w:p>
    <w:p w:rsidR="00D475D6" w:rsidRPr="000C3D19" w:rsidRDefault="00D475D6" w:rsidP="00D475D6">
      <w:pPr>
        <w:rPr>
          <w:lang w:val="en-GB"/>
        </w:rPr>
      </w:pPr>
      <w:r w:rsidRPr="000C3D19">
        <w:rPr>
          <w:rStyle w:val="Strong"/>
          <w:bCs w:val="0"/>
          <w:sz w:val="22"/>
          <w:lang w:val="en-GB"/>
        </w:rPr>
        <w:t xml:space="preserve">Section II. Corporate Events </w:t>
      </w:r>
    </w:p>
    <w:p w:rsidR="00D475D6" w:rsidRPr="000C3D19" w:rsidRDefault="00D475D6" w:rsidP="00D475D6">
      <w:pPr>
        <w:rPr>
          <w:lang w:val="en-GB"/>
        </w:rPr>
      </w:pPr>
    </w:p>
    <w:p w:rsidR="00D475D6" w:rsidRPr="000C3D19" w:rsidRDefault="00D475D6" w:rsidP="00D475D6">
      <w:pPr>
        <w:numPr>
          <w:ilvl w:val="0"/>
          <w:numId w:val="1"/>
        </w:numPr>
        <w:rPr>
          <w:rStyle w:val="Strong"/>
          <w:b w:val="0"/>
          <w:bCs w:val="0"/>
          <w:sz w:val="22"/>
          <w:lang w:val="en-GB"/>
        </w:rPr>
      </w:pPr>
      <w:r w:rsidRPr="000C3D19">
        <w:rPr>
          <w:rStyle w:val="Strong"/>
          <w:b w:val="0"/>
          <w:bCs w:val="0"/>
          <w:sz w:val="22"/>
          <w:lang w:val="en-GB"/>
        </w:rPr>
        <w:t xml:space="preserve">Corporate events (events not related to distribution of information on medicines – for example, Pharmaceutical Companies’ anniversaries celebration parties, receptions in honour of business partners and the like, corporate parties before Christmas Eve, etc.) are allowed. </w:t>
      </w:r>
    </w:p>
    <w:p w:rsidR="00D475D6" w:rsidRPr="000C3D19" w:rsidRDefault="00D475D6" w:rsidP="00D475D6">
      <w:pPr>
        <w:ind w:left="426"/>
        <w:rPr>
          <w:lang w:val="en-GB"/>
        </w:rPr>
      </w:pPr>
      <w:r w:rsidRPr="000C3D19">
        <w:rPr>
          <w:rStyle w:val="Strong"/>
          <w:b w:val="0"/>
          <w:bCs w:val="0"/>
          <w:sz w:val="22"/>
          <w:lang w:val="en-GB"/>
        </w:rPr>
        <w:t xml:space="preserve">It is not allowed to invite medical practitioners or pharmacists, representatives of patient organisations to such events. </w:t>
      </w:r>
    </w:p>
    <w:p w:rsidR="00D475D6" w:rsidRPr="000C3D19" w:rsidRDefault="00D475D6" w:rsidP="00D475D6">
      <w:pPr>
        <w:rPr>
          <w:lang w:val="en-GB"/>
        </w:rPr>
      </w:pPr>
    </w:p>
    <w:p w:rsidR="00D475D6" w:rsidRPr="000C3D19" w:rsidRDefault="00D475D6" w:rsidP="00D475D6">
      <w:pPr>
        <w:rPr>
          <w:lang w:val="en-GB"/>
        </w:rPr>
      </w:pPr>
      <w:r w:rsidRPr="000C3D19">
        <w:rPr>
          <w:rStyle w:val="Strong"/>
          <w:bCs w:val="0"/>
          <w:sz w:val="22"/>
          <w:lang w:val="en-GB"/>
        </w:rPr>
        <w:t xml:space="preserve">Section III. Sponsorship* </w:t>
      </w:r>
    </w:p>
    <w:p w:rsidR="00D475D6" w:rsidRPr="000C3D19" w:rsidRDefault="00D475D6" w:rsidP="00D475D6">
      <w:pPr>
        <w:rPr>
          <w:lang w:val="en-GB"/>
        </w:rPr>
      </w:pPr>
    </w:p>
    <w:p w:rsidR="00D475D6" w:rsidRPr="000C3D19" w:rsidRDefault="00D475D6" w:rsidP="00D475D6">
      <w:pPr>
        <w:numPr>
          <w:ilvl w:val="0"/>
          <w:numId w:val="1"/>
        </w:numPr>
        <w:rPr>
          <w:rStyle w:val="Strong"/>
          <w:b w:val="0"/>
          <w:bCs w:val="0"/>
          <w:sz w:val="22"/>
          <w:lang w:val="en-GB"/>
        </w:rPr>
      </w:pPr>
      <w:r w:rsidRPr="000C3D19">
        <w:rPr>
          <w:rStyle w:val="Strong"/>
          <w:b w:val="0"/>
          <w:bCs w:val="0"/>
          <w:sz w:val="22"/>
          <w:lang w:val="en-GB"/>
        </w:rPr>
        <w:t>It is allowed to donate to</w:t>
      </w:r>
      <w:r>
        <w:rPr>
          <w:rStyle w:val="Strong"/>
          <w:b w:val="0"/>
          <w:bCs w:val="0"/>
          <w:sz w:val="22"/>
          <w:lang w:val="en-GB"/>
        </w:rPr>
        <w:t>:</w:t>
      </w:r>
    </w:p>
    <w:p w:rsidR="00D475D6" w:rsidRPr="000C3D19" w:rsidRDefault="00D475D6" w:rsidP="00D475D6">
      <w:pPr>
        <w:numPr>
          <w:ilvl w:val="1"/>
          <w:numId w:val="1"/>
        </w:numPr>
        <w:ind w:left="851"/>
        <w:rPr>
          <w:rStyle w:val="Strong"/>
          <w:b w:val="0"/>
          <w:bCs w:val="0"/>
          <w:sz w:val="22"/>
          <w:lang w:val="en-GB"/>
        </w:rPr>
      </w:pPr>
      <w:r w:rsidRPr="000C3D19">
        <w:rPr>
          <w:rStyle w:val="Strong"/>
          <w:b w:val="0"/>
          <w:bCs w:val="0"/>
          <w:sz w:val="22"/>
          <w:lang w:val="en-GB"/>
        </w:rPr>
        <w:lastRenderedPageBreak/>
        <w:t xml:space="preserve">Legal entities only; </w:t>
      </w:r>
    </w:p>
    <w:p w:rsidR="00D475D6" w:rsidRPr="000C3D19" w:rsidRDefault="00D475D6" w:rsidP="00D475D6">
      <w:pPr>
        <w:numPr>
          <w:ilvl w:val="1"/>
          <w:numId w:val="1"/>
        </w:numPr>
        <w:ind w:left="851"/>
        <w:rPr>
          <w:rStyle w:val="Strong"/>
          <w:b w:val="0"/>
          <w:bCs w:val="0"/>
          <w:sz w:val="22"/>
          <w:lang w:val="en-GB"/>
        </w:rPr>
      </w:pPr>
      <w:r w:rsidRPr="000C3D19">
        <w:rPr>
          <w:rStyle w:val="Strong"/>
          <w:b w:val="0"/>
          <w:bCs w:val="0"/>
          <w:sz w:val="22"/>
          <w:lang w:val="en-GB"/>
        </w:rPr>
        <w:t xml:space="preserve">Only such matters and events that have a scientific and/or medical goal and directly promote and improve patient care; </w:t>
      </w:r>
    </w:p>
    <w:p w:rsidR="00D475D6" w:rsidRPr="000C3D19" w:rsidRDefault="00D475D6" w:rsidP="00D475D6">
      <w:pPr>
        <w:numPr>
          <w:ilvl w:val="1"/>
          <w:numId w:val="1"/>
        </w:numPr>
        <w:ind w:left="851"/>
        <w:rPr>
          <w:rStyle w:val="Strong"/>
          <w:b w:val="0"/>
          <w:bCs w:val="0"/>
          <w:sz w:val="22"/>
          <w:lang w:val="en-GB"/>
        </w:rPr>
      </w:pPr>
      <w:r w:rsidRPr="000C3D19">
        <w:rPr>
          <w:rStyle w:val="Strong"/>
          <w:b w:val="0"/>
          <w:bCs w:val="0"/>
          <w:sz w:val="22"/>
          <w:lang w:val="en-GB"/>
        </w:rPr>
        <w:t xml:space="preserve">Sponsorship must not provide any personal benefit to the representatives of the sponsored entity; </w:t>
      </w:r>
    </w:p>
    <w:p w:rsidR="00D475D6" w:rsidRPr="000C3D19" w:rsidRDefault="00D475D6" w:rsidP="00D475D6">
      <w:pPr>
        <w:numPr>
          <w:ilvl w:val="1"/>
          <w:numId w:val="1"/>
        </w:numPr>
        <w:ind w:left="851"/>
        <w:rPr>
          <w:rStyle w:val="Strong"/>
          <w:b w:val="0"/>
          <w:bCs w:val="0"/>
          <w:sz w:val="22"/>
          <w:lang w:val="en-GB"/>
        </w:rPr>
      </w:pPr>
      <w:r w:rsidRPr="000C3D19">
        <w:rPr>
          <w:rStyle w:val="Strong"/>
          <w:b w:val="0"/>
          <w:bCs w:val="0"/>
          <w:sz w:val="22"/>
          <w:lang w:val="en-GB"/>
        </w:rPr>
        <w:t xml:space="preserve">Sponsorship may not be related to the promotion of prescription of medicines manufactured by the relevant Pharmaceutical Company. </w:t>
      </w:r>
    </w:p>
    <w:p w:rsidR="00D475D6" w:rsidRPr="000C3D19" w:rsidRDefault="00D475D6" w:rsidP="00D475D6">
      <w:pPr>
        <w:numPr>
          <w:ilvl w:val="0"/>
          <w:numId w:val="1"/>
        </w:numPr>
        <w:rPr>
          <w:rStyle w:val="Strong"/>
          <w:b w:val="0"/>
          <w:bCs w:val="0"/>
          <w:sz w:val="22"/>
          <w:lang w:val="en-GB"/>
        </w:rPr>
      </w:pPr>
      <w:r w:rsidRPr="000C3D19">
        <w:rPr>
          <w:rStyle w:val="Strong"/>
          <w:b w:val="0"/>
          <w:bCs w:val="0"/>
          <w:sz w:val="22"/>
          <w:lang w:val="en-GB"/>
        </w:rPr>
        <w:t xml:space="preserve">An issue of sponsorship assignment shall be reviewed and a resolution shall be passed on the ground of a legal entity’s request (application) containing a substantiation of the necessity of sponsorship and advantages for scientific and medical development and patient care improvement. </w:t>
      </w:r>
    </w:p>
    <w:p w:rsidR="00D475D6" w:rsidRPr="00481898" w:rsidRDefault="00D475D6" w:rsidP="00D475D6">
      <w:pPr>
        <w:numPr>
          <w:ilvl w:val="1"/>
          <w:numId w:val="1"/>
        </w:numPr>
        <w:ind w:left="851"/>
        <w:rPr>
          <w:rStyle w:val="Strong"/>
          <w:b w:val="0"/>
          <w:bCs w:val="0"/>
          <w:i/>
          <w:iCs/>
          <w:sz w:val="22"/>
          <w:lang w:val="en-GB"/>
        </w:rPr>
      </w:pPr>
      <w:r w:rsidRPr="000C3D19">
        <w:rPr>
          <w:rStyle w:val="Strong"/>
          <w:b w:val="0"/>
          <w:bCs w:val="0"/>
          <w:sz w:val="22"/>
          <w:lang w:val="en-GB"/>
        </w:rPr>
        <w:t>When a sponsorship or donation is provided to patient organisations and when these organisations are supported financially, provisions of the Code shall apply.</w:t>
      </w:r>
    </w:p>
    <w:p w:rsidR="00D475D6" w:rsidRPr="00481898" w:rsidRDefault="00D475D6" w:rsidP="00D475D6">
      <w:pPr>
        <w:numPr>
          <w:ilvl w:val="1"/>
          <w:numId w:val="1"/>
        </w:numPr>
        <w:ind w:left="851"/>
        <w:rPr>
          <w:rStyle w:val="Strong"/>
          <w:b w:val="0"/>
          <w:bCs w:val="0"/>
          <w:i/>
          <w:iCs/>
          <w:sz w:val="22"/>
          <w:lang w:val="en-GB"/>
        </w:rPr>
      </w:pPr>
      <w:r w:rsidRPr="00481898">
        <w:rPr>
          <w:sz w:val="22"/>
          <w:szCs w:val="22"/>
          <w:lang w:val="en-GB"/>
        </w:rPr>
        <w:t>Pharmaceutical Companies are encouraged to make available publicly information about donations, grants or material benefits made by them.</w:t>
      </w:r>
    </w:p>
    <w:p w:rsidR="00D475D6" w:rsidRPr="00481898" w:rsidRDefault="00D475D6" w:rsidP="00D475D6">
      <w:pPr>
        <w:ind w:left="426"/>
        <w:rPr>
          <w:sz w:val="22"/>
          <w:szCs w:val="22"/>
          <w:lang w:val="en-GB"/>
        </w:rPr>
      </w:pPr>
      <w:r w:rsidRPr="00481898">
        <w:rPr>
          <w:rStyle w:val="Strong"/>
          <w:b w:val="0"/>
          <w:bCs w:val="0"/>
          <w:i/>
          <w:iCs/>
          <w:sz w:val="22"/>
          <w:lang w:val="en-GB"/>
        </w:rPr>
        <w:t xml:space="preserve">*Note: This Section does </w:t>
      </w:r>
      <w:r w:rsidRPr="00481898">
        <w:rPr>
          <w:rStyle w:val="Strong"/>
          <w:b w:val="0"/>
          <w:bCs w:val="0"/>
          <w:i/>
          <w:iCs/>
          <w:sz w:val="22"/>
          <w:szCs w:val="22"/>
          <w:lang w:val="en-GB"/>
        </w:rPr>
        <w:t xml:space="preserve">not apply to sponsoring of participation in events of healthcare professionals and representatives of patient organisations. </w:t>
      </w:r>
    </w:p>
    <w:p w:rsidR="00D475D6" w:rsidRPr="00481898" w:rsidRDefault="00D475D6" w:rsidP="00D475D6">
      <w:pPr>
        <w:rPr>
          <w:sz w:val="22"/>
          <w:szCs w:val="22"/>
          <w:lang w:val="en-GB"/>
        </w:rPr>
      </w:pPr>
    </w:p>
    <w:p w:rsidR="00D475D6" w:rsidRPr="000C3D19" w:rsidRDefault="00D475D6" w:rsidP="00D475D6">
      <w:pPr>
        <w:rPr>
          <w:lang w:val="en-GB"/>
        </w:rPr>
      </w:pPr>
      <w:r w:rsidRPr="00481898">
        <w:rPr>
          <w:rStyle w:val="Strong"/>
          <w:bCs w:val="0"/>
          <w:sz w:val="22"/>
          <w:szCs w:val="22"/>
          <w:lang w:val="en-GB"/>
        </w:rPr>
        <w:t>Section IV</w:t>
      </w:r>
      <w:r w:rsidRPr="00481898">
        <w:rPr>
          <w:rStyle w:val="Strong"/>
          <w:b w:val="0"/>
          <w:bCs w:val="0"/>
          <w:i/>
          <w:iCs/>
          <w:sz w:val="22"/>
          <w:lang w:val="en-GB"/>
        </w:rPr>
        <w:t>.</w:t>
      </w:r>
      <w:r w:rsidRPr="000C3D19">
        <w:rPr>
          <w:rStyle w:val="Strong"/>
          <w:bCs w:val="0"/>
          <w:sz w:val="22"/>
          <w:lang w:val="en-GB"/>
        </w:rPr>
        <w:t xml:space="preserve"> Criteria of choosing healthcare professionals and representatives of patient organisations and sponsoring their participation in events </w:t>
      </w:r>
    </w:p>
    <w:p w:rsidR="00D475D6" w:rsidRPr="000C3D19" w:rsidRDefault="00D475D6" w:rsidP="00D475D6">
      <w:pPr>
        <w:rPr>
          <w:lang w:val="en-GB"/>
        </w:rPr>
      </w:pPr>
    </w:p>
    <w:p w:rsidR="00D475D6" w:rsidRPr="000C3D19" w:rsidRDefault="00D475D6" w:rsidP="00D475D6">
      <w:pPr>
        <w:numPr>
          <w:ilvl w:val="0"/>
          <w:numId w:val="1"/>
        </w:numPr>
        <w:rPr>
          <w:rStyle w:val="Strong"/>
          <w:b w:val="0"/>
          <w:bCs w:val="0"/>
          <w:sz w:val="22"/>
          <w:lang w:val="en-GB"/>
        </w:rPr>
      </w:pPr>
      <w:r w:rsidRPr="000C3D19">
        <w:rPr>
          <w:rStyle w:val="Strong"/>
          <w:b w:val="0"/>
          <w:bCs w:val="0"/>
          <w:sz w:val="22"/>
          <w:lang w:val="en-GB"/>
        </w:rPr>
        <w:t xml:space="preserve">Participation in events may only be sponsored if: </w:t>
      </w:r>
    </w:p>
    <w:p w:rsidR="00D475D6" w:rsidRPr="000C3D19" w:rsidRDefault="00D475D6" w:rsidP="00D475D6">
      <w:pPr>
        <w:numPr>
          <w:ilvl w:val="1"/>
          <w:numId w:val="1"/>
        </w:numPr>
        <w:ind w:left="851"/>
        <w:rPr>
          <w:rStyle w:val="Strong"/>
          <w:b w:val="0"/>
          <w:bCs w:val="0"/>
          <w:sz w:val="22"/>
          <w:lang w:val="en-GB"/>
        </w:rPr>
      </w:pPr>
      <w:r w:rsidRPr="000C3D19">
        <w:rPr>
          <w:rStyle w:val="Strong"/>
          <w:b w:val="0"/>
          <w:bCs w:val="0"/>
          <w:sz w:val="22"/>
          <w:lang w:val="en-GB"/>
        </w:rPr>
        <w:t xml:space="preserve">a participant directly represents the industry or industries related to the topic of the event; </w:t>
      </w:r>
    </w:p>
    <w:p w:rsidR="00D475D6" w:rsidRPr="000C3D19" w:rsidRDefault="00D475D6" w:rsidP="00D475D6">
      <w:pPr>
        <w:numPr>
          <w:ilvl w:val="1"/>
          <w:numId w:val="1"/>
        </w:numPr>
        <w:ind w:left="851"/>
        <w:rPr>
          <w:rStyle w:val="Strong"/>
          <w:b w:val="0"/>
          <w:bCs w:val="0"/>
          <w:sz w:val="22"/>
          <w:lang w:val="en-GB"/>
        </w:rPr>
      </w:pPr>
      <w:proofErr w:type="gramStart"/>
      <w:r w:rsidRPr="000C3D19">
        <w:rPr>
          <w:rStyle w:val="Strong"/>
          <w:b w:val="0"/>
          <w:bCs w:val="0"/>
          <w:sz w:val="22"/>
          <w:lang w:val="en-GB"/>
        </w:rPr>
        <w:t>a</w:t>
      </w:r>
      <w:proofErr w:type="gramEnd"/>
      <w:r w:rsidRPr="000C3D19">
        <w:rPr>
          <w:rStyle w:val="Strong"/>
          <w:b w:val="0"/>
          <w:bCs w:val="0"/>
          <w:sz w:val="22"/>
          <w:lang w:val="en-GB"/>
        </w:rPr>
        <w:t xml:space="preserve"> participant may ensure further application of the received knowledge in his/her practice. </w:t>
      </w:r>
    </w:p>
    <w:p w:rsidR="00D475D6" w:rsidRPr="000C3D19" w:rsidRDefault="00D475D6" w:rsidP="00D475D6">
      <w:pPr>
        <w:numPr>
          <w:ilvl w:val="0"/>
          <w:numId w:val="1"/>
        </w:numPr>
        <w:rPr>
          <w:rStyle w:val="Strong"/>
          <w:b w:val="0"/>
          <w:bCs w:val="0"/>
          <w:sz w:val="22"/>
          <w:lang w:val="en-GB"/>
        </w:rPr>
      </w:pPr>
      <w:r w:rsidRPr="000C3D19">
        <w:rPr>
          <w:rStyle w:val="Strong"/>
          <w:b w:val="0"/>
          <w:bCs w:val="0"/>
          <w:sz w:val="22"/>
          <w:lang w:val="en-GB"/>
        </w:rPr>
        <w:t xml:space="preserve">Sponsorship of healthcare professional’s participation in events shall not be related to the promotion of prescription of the sponsor’s medicines. </w:t>
      </w:r>
    </w:p>
    <w:p w:rsidR="00D475D6" w:rsidRPr="000C3D19" w:rsidRDefault="00D475D6" w:rsidP="00D475D6">
      <w:pPr>
        <w:numPr>
          <w:ilvl w:val="0"/>
          <w:numId w:val="1"/>
        </w:numPr>
        <w:rPr>
          <w:rStyle w:val="Strong"/>
          <w:b w:val="0"/>
          <w:bCs w:val="0"/>
          <w:sz w:val="22"/>
          <w:lang w:val="en-GB"/>
        </w:rPr>
      </w:pPr>
      <w:r w:rsidRPr="000C3D19">
        <w:rPr>
          <w:rStyle w:val="Strong"/>
          <w:b w:val="0"/>
          <w:bCs w:val="0"/>
          <w:sz w:val="22"/>
          <w:lang w:val="en-GB"/>
        </w:rPr>
        <w:t xml:space="preserve">An issue of sponsorship assignment for participation in events shall be reviewed and a resolution shall be passed on the ground of a healthcare </w:t>
      </w:r>
      <w:proofErr w:type="spellStart"/>
      <w:r w:rsidRPr="000C3D19">
        <w:rPr>
          <w:rStyle w:val="Strong"/>
          <w:b w:val="0"/>
          <w:bCs w:val="0"/>
          <w:sz w:val="22"/>
          <w:lang w:val="en-GB"/>
        </w:rPr>
        <w:t>professional’s</w:t>
      </w:r>
      <w:proofErr w:type="spellEnd"/>
      <w:r w:rsidRPr="000C3D19">
        <w:rPr>
          <w:rStyle w:val="Strong"/>
          <w:b w:val="0"/>
          <w:bCs w:val="0"/>
          <w:sz w:val="22"/>
          <w:lang w:val="en-GB"/>
        </w:rPr>
        <w:t xml:space="preserve">, </w:t>
      </w:r>
      <w:proofErr w:type="spellStart"/>
      <w:r w:rsidRPr="000C3D19">
        <w:rPr>
          <w:rStyle w:val="Strong"/>
          <w:b w:val="0"/>
          <w:bCs w:val="0"/>
          <w:sz w:val="22"/>
          <w:lang w:val="en-GB"/>
        </w:rPr>
        <w:t>representative’s</w:t>
      </w:r>
      <w:proofErr w:type="spellEnd"/>
      <w:r w:rsidRPr="000C3D19">
        <w:rPr>
          <w:rStyle w:val="Strong"/>
          <w:b w:val="0"/>
          <w:bCs w:val="0"/>
          <w:sz w:val="22"/>
          <w:lang w:val="en-GB"/>
        </w:rPr>
        <w:t xml:space="preserve"> of the patient organisation request (application) containing a substantiation of the necessity of sponsorship and information about further application of the received knowledge in his/her practice. </w:t>
      </w:r>
    </w:p>
    <w:p w:rsidR="00D475D6" w:rsidRPr="000C3D19" w:rsidRDefault="00D475D6" w:rsidP="00D475D6">
      <w:pPr>
        <w:ind w:left="426"/>
        <w:rPr>
          <w:lang w:val="en-GB"/>
        </w:rPr>
      </w:pPr>
      <w:r w:rsidRPr="000C3D19">
        <w:rPr>
          <w:rStyle w:val="Strong"/>
          <w:b w:val="0"/>
          <w:bCs w:val="0"/>
          <w:sz w:val="22"/>
          <w:lang w:val="en-GB"/>
        </w:rPr>
        <w:t xml:space="preserve">If a healthcare professional or a representative of the patient organisation is invited to take part in an event, sponsorship is assigned on the ground of a healthcare </w:t>
      </w:r>
      <w:proofErr w:type="spellStart"/>
      <w:r w:rsidRPr="000C3D19">
        <w:rPr>
          <w:rStyle w:val="Strong"/>
          <w:b w:val="0"/>
          <w:bCs w:val="0"/>
          <w:sz w:val="22"/>
          <w:lang w:val="en-GB"/>
        </w:rPr>
        <w:t>professional’s</w:t>
      </w:r>
      <w:proofErr w:type="spellEnd"/>
      <w:r w:rsidRPr="000C3D19">
        <w:rPr>
          <w:rStyle w:val="Strong"/>
          <w:b w:val="0"/>
          <w:bCs w:val="0"/>
          <w:sz w:val="22"/>
          <w:lang w:val="en-GB"/>
        </w:rPr>
        <w:t xml:space="preserve">, </w:t>
      </w:r>
      <w:proofErr w:type="spellStart"/>
      <w:proofErr w:type="gramStart"/>
      <w:r w:rsidRPr="000C3D19">
        <w:rPr>
          <w:rStyle w:val="Strong"/>
          <w:b w:val="0"/>
          <w:bCs w:val="0"/>
          <w:sz w:val="22"/>
          <w:lang w:val="en-GB"/>
        </w:rPr>
        <w:t>representative’s</w:t>
      </w:r>
      <w:proofErr w:type="spellEnd"/>
      <w:proofErr w:type="gramEnd"/>
      <w:r w:rsidRPr="000C3D19">
        <w:rPr>
          <w:rStyle w:val="Strong"/>
          <w:b w:val="0"/>
          <w:bCs w:val="0"/>
          <w:sz w:val="22"/>
          <w:lang w:val="en-GB"/>
        </w:rPr>
        <w:t xml:space="preserve"> of the patient organisation justification (information) about further application of the received knowledge in his/her practice. </w:t>
      </w:r>
    </w:p>
    <w:p w:rsidR="00D475D6" w:rsidRPr="000C3D19" w:rsidRDefault="00D475D6" w:rsidP="00D475D6">
      <w:pPr>
        <w:rPr>
          <w:lang w:val="en-GB"/>
        </w:rPr>
      </w:pPr>
    </w:p>
    <w:p w:rsidR="00D475D6" w:rsidRPr="000C3D19" w:rsidRDefault="00D475D6" w:rsidP="00D475D6">
      <w:pPr>
        <w:rPr>
          <w:lang w:val="en-GB"/>
        </w:rPr>
      </w:pPr>
      <w:r w:rsidRPr="000C3D19">
        <w:rPr>
          <w:rStyle w:val="Strong"/>
          <w:bCs w:val="0"/>
          <w:sz w:val="22"/>
          <w:lang w:val="en-GB"/>
        </w:rPr>
        <w:t xml:space="preserve">Section V. Hospitality allowances </w:t>
      </w:r>
    </w:p>
    <w:p w:rsidR="00D475D6" w:rsidRPr="000C3D19" w:rsidRDefault="00D475D6" w:rsidP="00D475D6">
      <w:pPr>
        <w:rPr>
          <w:lang w:val="en-GB"/>
        </w:rPr>
      </w:pPr>
    </w:p>
    <w:p w:rsidR="00D475D6" w:rsidRPr="000C3D19" w:rsidRDefault="00D475D6" w:rsidP="00D475D6">
      <w:pPr>
        <w:numPr>
          <w:ilvl w:val="0"/>
          <w:numId w:val="1"/>
        </w:numPr>
        <w:rPr>
          <w:rStyle w:val="Strong"/>
          <w:b w:val="0"/>
          <w:bCs w:val="0"/>
          <w:sz w:val="22"/>
          <w:lang w:val="en-GB"/>
        </w:rPr>
      </w:pPr>
      <w:r w:rsidRPr="000C3D19">
        <w:rPr>
          <w:rStyle w:val="Strong"/>
          <w:b w:val="0"/>
          <w:bCs w:val="0"/>
          <w:sz w:val="22"/>
          <w:lang w:val="en-GB"/>
        </w:rPr>
        <w:t xml:space="preserve">Recommended venues of events: </w:t>
      </w:r>
    </w:p>
    <w:p w:rsidR="00D475D6" w:rsidRPr="000C3D19" w:rsidRDefault="00D475D6" w:rsidP="00D475D6">
      <w:pPr>
        <w:numPr>
          <w:ilvl w:val="1"/>
          <w:numId w:val="1"/>
        </w:numPr>
        <w:ind w:left="851"/>
        <w:rPr>
          <w:rStyle w:val="Strong"/>
          <w:b w:val="0"/>
          <w:bCs w:val="0"/>
          <w:sz w:val="22"/>
          <w:lang w:val="en-GB"/>
        </w:rPr>
      </w:pPr>
      <w:r w:rsidRPr="000C3D19">
        <w:rPr>
          <w:rStyle w:val="Strong"/>
          <w:b w:val="0"/>
          <w:bCs w:val="0"/>
          <w:sz w:val="22"/>
          <w:lang w:val="en-GB"/>
        </w:rPr>
        <w:t xml:space="preserve">conference-halls; </w:t>
      </w:r>
    </w:p>
    <w:p w:rsidR="00D475D6" w:rsidRPr="000C3D19" w:rsidRDefault="00D475D6" w:rsidP="00D475D6">
      <w:pPr>
        <w:numPr>
          <w:ilvl w:val="1"/>
          <w:numId w:val="1"/>
        </w:numPr>
        <w:ind w:left="851"/>
        <w:rPr>
          <w:rStyle w:val="Strong"/>
          <w:b w:val="0"/>
          <w:bCs w:val="0"/>
          <w:sz w:val="22"/>
          <w:lang w:val="en-GB"/>
        </w:rPr>
      </w:pPr>
      <w:r w:rsidRPr="000C3D19">
        <w:rPr>
          <w:rStyle w:val="Strong"/>
          <w:b w:val="0"/>
          <w:bCs w:val="0"/>
          <w:sz w:val="22"/>
          <w:lang w:val="en-GB"/>
        </w:rPr>
        <w:t xml:space="preserve">facilities of public organisations (associations, societies); </w:t>
      </w:r>
    </w:p>
    <w:p w:rsidR="00D475D6" w:rsidRPr="000C3D19" w:rsidRDefault="00D475D6" w:rsidP="00D475D6">
      <w:pPr>
        <w:numPr>
          <w:ilvl w:val="1"/>
          <w:numId w:val="1"/>
        </w:numPr>
        <w:ind w:left="851"/>
        <w:rPr>
          <w:rStyle w:val="Strong"/>
          <w:b w:val="0"/>
          <w:bCs w:val="0"/>
          <w:sz w:val="22"/>
          <w:lang w:val="en-GB"/>
        </w:rPr>
      </w:pPr>
      <w:r w:rsidRPr="000C3D19">
        <w:rPr>
          <w:rStyle w:val="Strong"/>
          <w:b w:val="0"/>
          <w:bCs w:val="0"/>
          <w:sz w:val="22"/>
          <w:lang w:val="en-GB"/>
        </w:rPr>
        <w:t xml:space="preserve">medical facilities; </w:t>
      </w:r>
    </w:p>
    <w:p w:rsidR="00D475D6" w:rsidRPr="000C3D19" w:rsidRDefault="00D475D6" w:rsidP="00D475D6">
      <w:pPr>
        <w:numPr>
          <w:ilvl w:val="1"/>
          <w:numId w:val="1"/>
        </w:numPr>
        <w:ind w:left="851"/>
        <w:rPr>
          <w:rStyle w:val="Strong"/>
          <w:b w:val="0"/>
          <w:bCs w:val="0"/>
          <w:sz w:val="22"/>
          <w:lang w:val="en-GB"/>
        </w:rPr>
      </w:pPr>
      <w:r w:rsidRPr="000C3D19">
        <w:rPr>
          <w:rStyle w:val="Strong"/>
          <w:b w:val="0"/>
          <w:bCs w:val="0"/>
          <w:sz w:val="22"/>
          <w:lang w:val="en-GB"/>
        </w:rPr>
        <w:t xml:space="preserve">pharmacies; </w:t>
      </w:r>
    </w:p>
    <w:p w:rsidR="00D475D6" w:rsidRPr="000C3D19" w:rsidRDefault="00D475D6" w:rsidP="00D475D6">
      <w:pPr>
        <w:numPr>
          <w:ilvl w:val="1"/>
          <w:numId w:val="1"/>
        </w:numPr>
        <w:ind w:left="851"/>
        <w:rPr>
          <w:rStyle w:val="Strong"/>
          <w:b w:val="0"/>
          <w:bCs w:val="0"/>
          <w:sz w:val="22"/>
          <w:lang w:val="en-GB"/>
        </w:rPr>
      </w:pPr>
      <w:proofErr w:type="gramStart"/>
      <w:r w:rsidRPr="000C3D19">
        <w:rPr>
          <w:rStyle w:val="Strong"/>
          <w:b w:val="0"/>
          <w:bCs w:val="0"/>
          <w:sz w:val="22"/>
          <w:lang w:val="en-GB"/>
        </w:rPr>
        <w:t>other</w:t>
      </w:r>
      <w:proofErr w:type="gramEnd"/>
      <w:r w:rsidRPr="000C3D19">
        <w:rPr>
          <w:rStyle w:val="Strong"/>
          <w:b w:val="0"/>
          <w:bCs w:val="0"/>
          <w:sz w:val="22"/>
          <w:lang w:val="en-GB"/>
        </w:rPr>
        <w:t xml:space="preserve"> such places as equipped with a conference-hall. </w:t>
      </w:r>
    </w:p>
    <w:p w:rsidR="00D475D6" w:rsidRPr="000C3D19" w:rsidRDefault="00D475D6" w:rsidP="00D475D6">
      <w:pPr>
        <w:ind w:left="426"/>
        <w:rPr>
          <w:rStyle w:val="Strong"/>
          <w:b w:val="0"/>
          <w:bCs w:val="0"/>
          <w:sz w:val="22"/>
          <w:lang w:val="en-GB"/>
        </w:rPr>
      </w:pPr>
      <w:r w:rsidRPr="000C3D19">
        <w:rPr>
          <w:rStyle w:val="Strong"/>
          <w:b w:val="0"/>
          <w:bCs w:val="0"/>
          <w:sz w:val="22"/>
          <w:lang w:val="en-GB"/>
        </w:rPr>
        <w:t xml:space="preserve">If an event is organized for the healthcare professionals or representatives of the patient organisation of a certain region of the country, the event may be held at public catering facilities if no such premises as mentioned in Paragraphs 9.1–9.5 above are available. </w:t>
      </w:r>
    </w:p>
    <w:p w:rsidR="00D475D6" w:rsidRPr="000C3D19" w:rsidRDefault="00D475D6" w:rsidP="00D475D6">
      <w:pPr>
        <w:ind w:left="426"/>
        <w:rPr>
          <w:rStyle w:val="Strong"/>
          <w:b w:val="0"/>
          <w:bCs w:val="0"/>
          <w:sz w:val="22"/>
          <w:lang w:val="en-GB"/>
        </w:rPr>
      </w:pPr>
      <w:r w:rsidRPr="000C3D19">
        <w:rPr>
          <w:rStyle w:val="Strong"/>
          <w:b w:val="0"/>
          <w:bCs w:val="0"/>
          <w:sz w:val="22"/>
          <w:lang w:val="en-GB"/>
        </w:rPr>
        <w:t xml:space="preserve">To hold events elsewhere is not allowed. </w:t>
      </w:r>
    </w:p>
    <w:p w:rsidR="00D475D6" w:rsidRPr="000C3D19" w:rsidRDefault="00D475D6" w:rsidP="00D475D6">
      <w:pPr>
        <w:numPr>
          <w:ilvl w:val="0"/>
          <w:numId w:val="1"/>
        </w:numPr>
        <w:rPr>
          <w:rStyle w:val="Strong"/>
          <w:b w:val="0"/>
          <w:bCs w:val="0"/>
          <w:sz w:val="22"/>
          <w:lang w:val="en-GB"/>
        </w:rPr>
      </w:pPr>
      <w:r w:rsidRPr="000C3D19">
        <w:rPr>
          <w:rStyle w:val="Strong"/>
          <w:b w:val="0"/>
          <w:bCs w:val="0"/>
          <w:sz w:val="22"/>
          <w:lang w:val="en-GB"/>
        </w:rPr>
        <w:t xml:space="preserve">The following hospitality allowances may be offered in Latvia: </w:t>
      </w:r>
    </w:p>
    <w:p w:rsidR="00D475D6" w:rsidRPr="000C3D19" w:rsidRDefault="00D475D6" w:rsidP="00D475D6">
      <w:pPr>
        <w:numPr>
          <w:ilvl w:val="1"/>
          <w:numId w:val="1"/>
        </w:numPr>
        <w:ind w:left="993" w:hanging="567"/>
        <w:rPr>
          <w:rStyle w:val="Strong"/>
          <w:b w:val="0"/>
          <w:bCs w:val="0"/>
          <w:sz w:val="22"/>
          <w:lang w:val="en-GB"/>
        </w:rPr>
      </w:pPr>
      <w:r w:rsidRPr="000C3D19">
        <w:rPr>
          <w:rStyle w:val="Strong"/>
          <w:b w:val="0"/>
          <w:bCs w:val="0"/>
          <w:sz w:val="22"/>
          <w:lang w:val="en-GB"/>
        </w:rPr>
        <w:t xml:space="preserve">accommodation at the venue of the event; </w:t>
      </w:r>
    </w:p>
    <w:p w:rsidR="00D475D6" w:rsidRPr="000C3D19" w:rsidRDefault="00D475D6" w:rsidP="00D475D6">
      <w:pPr>
        <w:numPr>
          <w:ilvl w:val="1"/>
          <w:numId w:val="1"/>
        </w:numPr>
        <w:ind w:left="993" w:hanging="567"/>
        <w:rPr>
          <w:rStyle w:val="Strong"/>
          <w:b w:val="0"/>
          <w:bCs w:val="0"/>
          <w:sz w:val="22"/>
          <w:lang w:val="en-GB"/>
        </w:rPr>
      </w:pPr>
      <w:proofErr w:type="gramStart"/>
      <w:r w:rsidRPr="000C3D19">
        <w:rPr>
          <w:rStyle w:val="Strong"/>
          <w:b w:val="0"/>
          <w:bCs w:val="0"/>
          <w:sz w:val="22"/>
          <w:lang w:val="en-GB"/>
        </w:rPr>
        <w:t>catering</w:t>
      </w:r>
      <w:proofErr w:type="gramEnd"/>
      <w:r w:rsidRPr="000C3D19">
        <w:rPr>
          <w:rStyle w:val="Strong"/>
          <w:b w:val="0"/>
          <w:bCs w:val="0"/>
          <w:sz w:val="22"/>
          <w:lang w:val="en-GB"/>
        </w:rPr>
        <w:t>. Maximum amount per person per one meal (food and drinks) shall not exceed</w:t>
      </w:r>
      <w:r>
        <w:rPr>
          <w:rStyle w:val="Strong"/>
          <w:b w:val="0"/>
          <w:bCs w:val="0"/>
          <w:sz w:val="22"/>
          <w:lang w:val="en-GB"/>
        </w:rPr>
        <w:t xml:space="preserve"> </w:t>
      </w:r>
      <w:r w:rsidRPr="000C3D19">
        <w:rPr>
          <w:rStyle w:val="Strong"/>
          <w:b w:val="0"/>
          <w:bCs w:val="0"/>
          <w:sz w:val="22"/>
          <w:lang w:val="en-GB"/>
        </w:rPr>
        <w:t xml:space="preserve">EUR 60, and the total maximum amount per all meals per day shall not exceed EUR 100 in Latvia; </w:t>
      </w:r>
    </w:p>
    <w:p w:rsidR="00D475D6" w:rsidRPr="000C3D19" w:rsidRDefault="00D475D6" w:rsidP="00D475D6">
      <w:pPr>
        <w:numPr>
          <w:ilvl w:val="1"/>
          <w:numId w:val="1"/>
        </w:numPr>
        <w:ind w:left="993" w:hanging="567"/>
        <w:rPr>
          <w:rStyle w:val="Strong"/>
          <w:b w:val="0"/>
          <w:bCs w:val="0"/>
          <w:sz w:val="22"/>
          <w:lang w:val="en-GB"/>
        </w:rPr>
      </w:pPr>
      <w:proofErr w:type="gramStart"/>
      <w:r w:rsidRPr="000C3D19">
        <w:rPr>
          <w:rStyle w:val="Strong"/>
          <w:b w:val="0"/>
          <w:bCs w:val="0"/>
          <w:sz w:val="22"/>
          <w:lang w:val="en-GB"/>
        </w:rPr>
        <w:t>transport</w:t>
      </w:r>
      <w:proofErr w:type="gramEnd"/>
      <w:r w:rsidRPr="000C3D19">
        <w:rPr>
          <w:rStyle w:val="Strong"/>
          <w:b w:val="0"/>
          <w:bCs w:val="0"/>
          <w:sz w:val="22"/>
          <w:lang w:val="en-GB"/>
        </w:rPr>
        <w:t xml:space="preserve"> to the venue of event and backwards. </w:t>
      </w:r>
    </w:p>
    <w:p w:rsidR="00D475D6" w:rsidRPr="000C3D19" w:rsidRDefault="00D475D6" w:rsidP="00D475D6">
      <w:pPr>
        <w:numPr>
          <w:ilvl w:val="0"/>
          <w:numId w:val="1"/>
        </w:numPr>
        <w:rPr>
          <w:rStyle w:val="Strong"/>
          <w:b w:val="0"/>
          <w:bCs w:val="0"/>
          <w:sz w:val="22"/>
          <w:lang w:val="en-GB"/>
        </w:rPr>
      </w:pPr>
      <w:r w:rsidRPr="000C3D19">
        <w:rPr>
          <w:rStyle w:val="Strong"/>
          <w:b w:val="0"/>
          <w:bCs w:val="0"/>
          <w:sz w:val="22"/>
          <w:lang w:val="en-GB"/>
        </w:rPr>
        <w:t xml:space="preserve">No Pharmaceutical Company is allowed to organise or sponsor an event, which is held outside the domicile region of the healthcare professional or patient („international event”) except for such cases as follows: </w:t>
      </w:r>
    </w:p>
    <w:p w:rsidR="00D475D6" w:rsidRPr="000C3D19" w:rsidRDefault="00D475D6" w:rsidP="00D475D6">
      <w:pPr>
        <w:numPr>
          <w:ilvl w:val="1"/>
          <w:numId w:val="1"/>
        </w:numPr>
        <w:ind w:left="993" w:hanging="567"/>
        <w:rPr>
          <w:rStyle w:val="Strong"/>
          <w:b w:val="0"/>
          <w:bCs w:val="0"/>
          <w:sz w:val="22"/>
          <w:lang w:val="en-GB"/>
        </w:rPr>
      </w:pPr>
      <w:r w:rsidRPr="000C3D19">
        <w:rPr>
          <w:rStyle w:val="Strong"/>
          <w:b w:val="0"/>
          <w:bCs w:val="0"/>
          <w:sz w:val="22"/>
          <w:lang w:val="en-GB"/>
        </w:rPr>
        <w:t xml:space="preserve">If the event is closely related to improvement of the healthcare professional’s knowledge and skills needed for his/her work and/or patients knowledge; and </w:t>
      </w:r>
    </w:p>
    <w:p w:rsidR="00D475D6" w:rsidRPr="000C3D19" w:rsidRDefault="00D475D6" w:rsidP="00D475D6">
      <w:pPr>
        <w:numPr>
          <w:ilvl w:val="1"/>
          <w:numId w:val="1"/>
        </w:numPr>
        <w:ind w:left="993" w:hanging="567"/>
        <w:rPr>
          <w:rStyle w:val="Strong"/>
          <w:b w:val="0"/>
          <w:bCs w:val="0"/>
          <w:sz w:val="22"/>
          <w:lang w:val="en-GB"/>
        </w:rPr>
      </w:pPr>
      <w:r w:rsidRPr="000C3D19">
        <w:rPr>
          <w:rStyle w:val="Strong"/>
          <w:b w:val="0"/>
          <w:bCs w:val="0"/>
          <w:sz w:val="22"/>
          <w:lang w:val="en-GB"/>
        </w:rPr>
        <w:t xml:space="preserve">The majority of guests come from foreign countries (it would be logical to hold the event in the country where the majority of participants come from); or </w:t>
      </w:r>
    </w:p>
    <w:p w:rsidR="00D475D6" w:rsidRPr="000C3D19" w:rsidRDefault="00D475D6" w:rsidP="00D475D6">
      <w:pPr>
        <w:numPr>
          <w:ilvl w:val="1"/>
          <w:numId w:val="1"/>
        </w:numPr>
        <w:ind w:left="993" w:hanging="567"/>
        <w:rPr>
          <w:rStyle w:val="Strong"/>
          <w:b w:val="0"/>
          <w:bCs w:val="0"/>
          <w:sz w:val="22"/>
          <w:lang w:val="en-GB"/>
        </w:rPr>
      </w:pPr>
      <w:r w:rsidRPr="000C3D19">
        <w:rPr>
          <w:rStyle w:val="Strong"/>
          <w:b w:val="0"/>
          <w:bCs w:val="0"/>
          <w:sz w:val="22"/>
          <w:lang w:val="en-GB"/>
        </w:rPr>
        <w:lastRenderedPageBreak/>
        <w:t xml:space="preserve">In view of the location of the relevant resources, i.e. the object or the subject of the event, it is logical to hold the event in other country, and such an event cannot be organised in Latvia. </w:t>
      </w:r>
    </w:p>
    <w:p w:rsidR="00D475D6" w:rsidRPr="000C3D19" w:rsidRDefault="00D475D6" w:rsidP="00D475D6">
      <w:pPr>
        <w:numPr>
          <w:ilvl w:val="0"/>
          <w:numId w:val="1"/>
        </w:numPr>
        <w:rPr>
          <w:rStyle w:val="Strong"/>
          <w:b w:val="0"/>
          <w:bCs w:val="0"/>
          <w:sz w:val="22"/>
          <w:lang w:val="en-GB"/>
        </w:rPr>
      </w:pPr>
      <w:r w:rsidRPr="000C3D19">
        <w:rPr>
          <w:rStyle w:val="Strong"/>
          <w:b w:val="0"/>
          <w:bCs w:val="0"/>
          <w:sz w:val="22"/>
          <w:lang w:val="en-GB"/>
        </w:rPr>
        <w:t xml:space="preserve">It is allowed to make the following payments related to an international event (an event held abroad): </w:t>
      </w:r>
    </w:p>
    <w:p w:rsidR="00D475D6" w:rsidRPr="000C3D19" w:rsidRDefault="00D475D6" w:rsidP="00D475D6">
      <w:pPr>
        <w:numPr>
          <w:ilvl w:val="1"/>
          <w:numId w:val="1"/>
        </w:numPr>
        <w:ind w:left="993" w:hanging="567"/>
        <w:rPr>
          <w:rStyle w:val="Strong"/>
          <w:b w:val="0"/>
          <w:bCs w:val="0"/>
          <w:sz w:val="22"/>
          <w:lang w:val="en-GB"/>
        </w:rPr>
      </w:pPr>
      <w:r w:rsidRPr="000C3D19">
        <w:rPr>
          <w:rStyle w:val="Strong"/>
          <w:b w:val="0"/>
          <w:bCs w:val="0"/>
          <w:sz w:val="22"/>
          <w:lang w:val="en-GB"/>
        </w:rPr>
        <w:t xml:space="preserve">To pay economy class airfares, except cases when there are no available economy class tickets to the given flight; </w:t>
      </w:r>
    </w:p>
    <w:p w:rsidR="00D475D6" w:rsidRPr="000C3D19" w:rsidRDefault="00D475D6" w:rsidP="00D475D6">
      <w:pPr>
        <w:numPr>
          <w:ilvl w:val="1"/>
          <w:numId w:val="1"/>
        </w:numPr>
        <w:ind w:left="993" w:hanging="567"/>
        <w:rPr>
          <w:rStyle w:val="Strong"/>
          <w:b w:val="0"/>
          <w:bCs w:val="0"/>
          <w:sz w:val="22"/>
          <w:lang w:val="en-GB"/>
        </w:rPr>
      </w:pPr>
      <w:r w:rsidRPr="000C3D19">
        <w:rPr>
          <w:rStyle w:val="Strong"/>
          <w:b w:val="0"/>
          <w:bCs w:val="0"/>
          <w:sz w:val="22"/>
          <w:lang w:val="en-GB"/>
        </w:rPr>
        <w:t xml:space="preserve">To pay for bus (coach) tickets; </w:t>
      </w:r>
    </w:p>
    <w:p w:rsidR="00D475D6" w:rsidRPr="000C3D19" w:rsidRDefault="00D475D6" w:rsidP="00D475D6">
      <w:pPr>
        <w:numPr>
          <w:ilvl w:val="1"/>
          <w:numId w:val="1"/>
        </w:numPr>
        <w:ind w:left="993" w:hanging="567"/>
        <w:rPr>
          <w:rStyle w:val="Strong"/>
          <w:b w:val="0"/>
          <w:bCs w:val="0"/>
          <w:sz w:val="22"/>
          <w:lang w:val="en-GB"/>
        </w:rPr>
      </w:pPr>
      <w:r w:rsidRPr="000C3D19">
        <w:rPr>
          <w:rStyle w:val="Strong"/>
          <w:b w:val="0"/>
          <w:bCs w:val="0"/>
          <w:sz w:val="22"/>
          <w:lang w:val="en-GB"/>
        </w:rPr>
        <w:t xml:space="preserve">To pay for railroad tickets; </w:t>
      </w:r>
    </w:p>
    <w:p w:rsidR="00D475D6" w:rsidRPr="000C3D19" w:rsidRDefault="00D475D6" w:rsidP="00D475D6">
      <w:pPr>
        <w:numPr>
          <w:ilvl w:val="1"/>
          <w:numId w:val="1"/>
        </w:numPr>
        <w:ind w:left="993" w:hanging="567"/>
        <w:rPr>
          <w:rStyle w:val="Strong"/>
          <w:b w:val="0"/>
          <w:bCs w:val="0"/>
          <w:sz w:val="22"/>
          <w:lang w:val="en-GB"/>
        </w:rPr>
      </w:pPr>
      <w:r w:rsidRPr="000C3D19">
        <w:rPr>
          <w:rStyle w:val="Strong"/>
          <w:b w:val="0"/>
          <w:bCs w:val="0"/>
          <w:sz w:val="22"/>
          <w:lang w:val="en-GB"/>
        </w:rPr>
        <w:t xml:space="preserve">To pay no higher than a medium-class car rent or taxi services to get from the airport to the hotel and back. </w:t>
      </w:r>
    </w:p>
    <w:p w:rsidR="00D475D6" w:rsidRPr="000C3D19" w:rsidRDefault="00D475D6" w:rsidP="00D475D6">
      <w:pPr>
        <w:numPr>
          <w:ilvl w:val="1"/>
          <w:numId w:val="1"/>
        </w:numPr>
        <w:ind w:left="993" w:hanging="567"/>
        <w:rPr>
          <w:rStyle w:val="Strong"/>
          <w:b w:val="0"/>
          <w:bCs w:val="0"/>
          <w:sz w:val="22"/>
          <w:lang w:val="en-GB"/>
        </w:rPr>
      </w:pPr>
      <w:r w:rsidRPr="000C3D19">
        <w:rPr>
          <w:rStyle w:val="Strong"/>
          <w:b w:val="0"/>
          <w:bCs w:val="0"/>
          <w:sz w:val="22"/>
          <w:lang w:val="en-GB"/>
        </w:rPr>
        <w:t xml:space="preserve">For catering expenses, the Pharmaceutical Company shall apply norms/limits valid for the country where the event is held (e.g. the monetary threshold defined in the “host country”). </w:t>
      </w:r>
    </w:p>
    <w:p w:rsidR="00D475D6" w:rsidRPr="000C3D19" w:rsidRDefault="00D475D6" w:rsidP="00D475D6">
      <w:pPr>
        <w:numPr>
          <w:ilvl w:val="1"/>
          <w:numId w:val="1"/>
        </w:numPr>
        <w:ind w:left="993" w:hanging="567"/>
        <w:rPr>
          <w:rStyle w:val="Strong"/>
          <w:b w:val="0"/>
          <w:bCs w:val="0"/>
          <w:sz w:val="22"/>
          <w:lang w:val="en-GB"/>
        </w:rPr>
      </w:pPr>
      <w:r w:rsidRPr="000C3D19">
        <w:rPr>
          <w:rStyle w:val="Strong"/>
          <w:b w:val="0"/>
          <w:bCs w:val="0"/>
          <w:sz w:val="22"/>
          <w:lang w:val="en-GB"/>
        </w:rPr>
        <w:t xml:space="preserve">Hotel accommodation – not more than the price of a 4-star hotel at the corresponding dwelling place with the exception of cases when international events are held in a hotel of a higher rate and participants of the event are accommodated in this hotel. </w:t>
      </w:r>
    </w:p>
    <w:p w:rsidR="00D475D6" w:rsidRPr="000C3D19" w:rsidRDefault="00D475D6" w:rsidP="00D475D6">
      <w:pPr>
        <w:numPr>
          <w:ilvl w:val="0"/>
          <w:numId w:val="1"/>
        </w:numPr>
        <w:rPr>
          <w:rStyle w:val="Strong"/>
          <w:b w:val="0"/>
          <w:bCs w:val="0"/>
          <w:sz w:val="22"/>
          <w:lang w:val="en-GB"/>
        </w:rPr>
      </w:pPr>
      <w:r w:rsidRPr="000C3D19">
        <w:rPr>
          <w:rStyle w:val="Strong"/>
          <w:b w:val="0"/>
          <w:bCs w:val="0"/>
          <w:sz w:val="22"/>
          <w:lang w:val="en-GB"/>
        </w:rPr>
        <w:t xml:space="preserve">It is not allowed to offer such hospitality as: </w:t>
      </w:r>
    </w:p>
    <w:p w:rsidR="00D475D6" w:rsidRPr="000C3D19" w:rsidRDefault="00D475D6" w:rsidP="00D475D6">
      <w:pPr>
        <w:numPr>
          <w:ilvl w:val="1"/>
          <w:numId w:val="1"/>
        </w:numPr>
        <w:ind w:left="993" w:hanging="567"/>
        <w:rPr>
          <w:rStyle w:val="Strong"/>
          <w:b w:val="0"/>
          <w:bCs w:val="0"/>
          <w:sz w:val="22"/>
          <w:lang w:val="en-GB"/>
        </w:rPr>
      </w:pPr>
      <w:r w:rsidRPr="000C3D19">
        <w:rPr>
          <w:rStyle w:val="Strong"/>
          <w:b w:val="0"/>
          <w:bCs w:val="0"/>
          <w:sz w:val="22"/>
          <w:lang w:val="en-GB"/>
        </w:rPr>
        <w:t xml:space="preserve">sports and recreational events/activities; </w:t>
      </w:r>
    </w:p>
    <w:p w:rsidR="00D475D6" w:rsidRPr="000C3D19" w:rsidRDefault="00D475D6" w:rsidP="00D475D6">
      <w:pPr>
        <w:numPr>
          <w:ilvl w:val="1"/>
          <w:numId w:val="1"/>
        </w:numPr>
        <w:ind w:left="993" w:hanging="567"/>
        <w:rPr>
          <w:rStyle w:val="Strong"/>
          <w:b w:val="0"/>
          <w:bCs w:val="0"/>
          <w:sz w:val="22"/>
          <w:lang w:val="en-GB"/>
        </w:rPr>
      </w:pPr>
      <w:r w:rsidRPr="000C3D19">
        <w:rPr>
          <w:rStyle w:val="Strong"/>
          <w:b w:val="0"/>
          <w:bCs w:val="0"/>
          <w:sz w:val="22"/>
          <w:lang w:val="en-GB"/>
        </w:rPr>
        <w:t xml:space="preserve">entertainment events; </w:t>
      </w:r>
    </w:p>
    <w:p w:rsidR="00D475D6" w:rsidRPr="000C3D19" w:rsidRDefault="00D475D6" w:rsidP="00D475D6">
      <w:pPr>
        <w:numPr>
          <w:ilvl w:val="1"/>
          <w:numId w:val="1"/>
        </w:numPr>
        <w:ind w:left="993" w:hanging="567"/>
        <w:rPr>
          <w:rStyle w:val="Strong"/>
          <w:b w:val="0"/>
          <w:bCs w:val="0"/>
          <w:sz w:val="22"/>
          <w:lang w:val="en-GB"/>
        </w:rPr>
      </w:pPr>
      <w:r w:rsidRPr="000C3D19">
        <w:rPr>
          <w:rStyle w:val="Strong"/>
          <w:b w:val="0"/>
          <w:bCs w:val="0"/>
          <w:sz w:val="22"/>
          <w:lang w:val="en-GB"/>
        </w:rPr>
        <w:t xml:space="preserve">covering expenses on Spa and body care procedures; </w:t>
      </w:r>
    </w:p>
    <w:p w:rsidR="00D475D6" w:rsidRPr="000C3D19" w:rsidRDefault="00D475D6" w:rsidP="00D475D6">
      <w:pPr>
        <w:numPr>
          <w:ilvl w:val="1"/>
          <w:numId w:val="1"/>
        </w:numPr>
        <w:ind w:left="993" w:hanging="567"/>
        <w:rPr>
          <w:rStyle w:val="Strong"/>
          <w:b w:val="0"/>
          <w:bCs w:val="0"/>
          <w:sz w:val="22"/>
          <w:lang w:val="en-GB"/>
        </w:rPr>
      </w:pPr>
      <w:r w:rsidRPr="000C3D19">
        <w:rPr>
          <w:rStyle w:val="Strong"/>
          <w:b w:val="0"/>
          <w:bCs w:val="0"/>
          <w:sz w:val="22"/>
          <w:lang w:val="en-GB"/>
        </w:rPr>
        <w:t xml:space="preserve">excursions; </w:t>
      </w:r>
    </w:p>
    <w:p w:rsidR="00D475D6" w:rsidRPr="000C3D19" w:rsidRDefault="00D475D6" w:rsidP="00D475D6">
      <w:pPr>
        <w:numPr>
          <w:ilvl w:val="1"/>
          <w:numId w:val="1"/>
        </w:numPr>
        <w:ind w:left="993" w:hanging="567"/>
        <w:rPr>
          <w:rStyle w:val="Strong"/>
          <w:b w:val="0"/>
          <w:bCs w:val="0"/>
          <w:sz w:val="22"/>
          <w:lang w:val="en-GB"/>
        </w:rPr>
      </w:pPr>
      <w:r w:rsidRPr="000C3D19">
        <w:rPr>
          <w:rStyle w:val="Strong"/>
          <w:b w:val="0"/>
          <w:bCs w:val="0"/>
          <w:sz w:val="22"/>
          <w:lang w:val="en-GB"/>
        </w:rPr>
        <w:t xml:space="preserve">accommodation at resorts and recreational facilities; </w:t>
      </w:r>
    </w:p>
    <w:p w:rsidR="00D475D6" w:rsidRPr="000C3D19" w:rsidRDefault="00D475D6" w:rsidP="00D475D6">
      <w:pPr>
        <w:numPr>
          <w:ilvl w:val="1"/>
          <w:numId w:val="1"/>
        </w:numPr>
        <w:ind w:left="993" w:hanging="567"/>
        <w:rPr>
          <w:rStyle w:val="Strong"/>
          <w:b w:val="0"/>
          <w:bCs w:val="0"/>
          <w:sz w:val="22"/>
          <w:lang w:val="en-GB"/>
        </w:rPr>
      </w:pPr>
      <w:r w:rsidRPr="000C3D19">
        <w:rPr>
          <w:rStyle w:val="Strong"/>
          <w:b w:val="0"/>
          <w:bCs w:val="0"/>
          <w:sz w:val="22"/>
          <w:lang w:val="en-GB"/>
        </w:rPr>
        <w:t xml:space="preserve">covering expenses incurred by the specialist’s accompanying person; </w:t>
      </w:r>
    </w:p>
    <w:p w:rsidR="00D475D6" w:rsidRPr="000C3D19" w:rsidRDefault="00D475D6" w:rsidP="00D475D6">
      <w:pPr>
        <w:numPr>
          <w:ilvl w:val="1"/>
          <w:numId w:val="1"/>
        </w:numPr>
        <w:ind w:left="993" w:hanging="567"/>
        <w:rPr>
          <w:rStyle w:val="Strong"/>
          <w:b w:val="0"/>
          <w:bCs w:val="0"/>
          <w:sz w:val="22"/>
          <w:lang w:val="en-GB"/>
        </w:rPr>
      </w:pPr>
      <w:r w:rsidRPr="000C3D19">
        <w:rPr>
          <w:rStyle w:val="Strong"/>
          <w:b w:val="0"/>
          <w:bCs w:val="0"/>
          <w:sz w:val="22"/>
          <w:lang w:val="en-GB"/>
        </w:rPr>
        <w:t xml:space="preserve">accommodation/daily allowances; </w:t>
      </w:r>
    </w:p>
    <w:p w:rsidR="00D475D6" w:rsidRPr="000C3D19" w:rsidRDefault="00D475D6" w:rsidP="00D475D6">
      <w:pPr>
        <w:numPr>
          <w:ilvl w:val="1"/>
          <w:numId w:val="1"/>
        </w:numPr>
        <w:ind w:left="993" w:hanging="567"/>
        <w:rPr>
          <w:rStyle w:val="Strong"/>
          <w:b w:val="0"/>
          <w:bCs w:val="0"/>
          <w:i/>
          <w:iCs/>
          <w:sz w:val="22"/>
          <w:lang w:val="en-GB"/>
        </w:rPr>
      </w:pPr>
      <w:proofErr w:type="gramStart"/>
      <w:r w:rsidRPr="000C3D19">
        <w:rPr>
          <w:rStyle w:val="Strong"/>
          <w:b w:val="0"/>
          <w:bCs w:val="0"/>
          <w:sz w:val="22"/>
          <w:lang w:val="en-GB"/>
        </w:rPr>
        <w:t>other</w:t>
      </w:r>
      <w:proofErr w:type="gramEnd"/>
      <w:r w:rsidRPr="000C3D19">
        <w:rPr>
          <w:rStyle w:val="Strong"/>
          <w:b w:val="0"/>
          <w:bCs w:val="0"/>
          <w:sz w:val="22"/>
          <w:lang w:val="en-GB"/>
        </w:rPr>
        <w:t xml:space="preserve"> similar hospitality allowances. </w:t>
      </w:r>
    </w:p>
    <w:p w:rsidR="00D475D6" w:rsidRPr="000C3D19" w:rsidRDefault="00D475D6" w:rsidP="00D475D6">
      <w:pPr>
        <w:ind w:left="426"/>
        <w:rPr>
          <w:lang w:val="en-GB"/>
        </w:rPr>
      </w:pPr>
      <w:r w:rsidRPr="000C3D19">
        <w:rPr>
          <w:rStyle w:val="Strong"/>
          <w:b w:val="0"/>
          <w:bCs w:val="0"/>
          <w:i/>
          <w:iCs/>
          <w:sz w:val="22"/>
          <w:lang w:val="en-GB"/>
        </w:rPr>
        <w:t xml:space="preserve">Note: The prohibition is not limited to the examples listed in the Article 13. </w:t>
      </w:r>
    </w:p>
    <w:p w:rsidR="00D475D6" w:rsidRPr="000C3D19" w:rsidRDefault="00D475D6" w:rsidP="00D475D6">
      <w:pPr>
        <w:rPr>
          <w:lang w:val="en-GB"/>
        </w:rPr>
      </w:pPr>
    </w:p>
    <w:p w:rsidR="00D475D6" w:rsidRPr="000C3D19" w:rsidRDefault="00D475D6" w:rsidP="00D475D6">
      <w:pPr>
        <w:rPr>
          <w:lang w:val="en-GB"/>
        </w:rPr>
      </w:pPr>
      <w:r w:rsidRPr="000C3D19">
        <w:rPr>
          <w:rStyle w:val="Strong"/>
          <w:bCs w:val="0"/>
          <w:sz w:val="22"/>
          <w:lang w:val="en-GB"/>
        </w:rPr>
        <w:t>Section VI. Gifts and incentives, informative and educational materials and items of medical utility</w:t>
      </w:r>
    </w:p>
    <w:p w:rsidR="00D475D6" w:rsidRPr="000C3D19" w:rsidRDefault="00D475D6" w:rsidP="00D475D6">
      <w:pPr>
        <w:rPr>
          <w:lang w:val="en-GB"/>
        </w:rPr>
      </w:pPr>
    </w:p>
    <w:p w:rsidR="00D475D6" w:rsidRPr="000C3D19" w:rsidRDefault="00D475D6" w:rsidP="00D475D6">
      <w:pPr>
        <w:numPr>
          <w:ilvl w:val="0"/>
          <w:numId w:val="1"/>
        </w:numPr>
        <w:rPr>
          <w:rStyle w:val="Strong"/>
          <w:b w:val="0"/>
          <w:bCs w:val="0"/>
          <w:sz w:val="22"/>
          <w:lang w:val="en-GB"/>
        </w:rPr>
      </w:pPr>
      <w:r w:rsidRPr="000C3D19">
        <w:rPr>
          <w:rStyle w:val="Strong"/>
          <w:b w:val="0"/>
          <w:bCs w:val="0"/>
          <w:sz w:val="22"/>
          <w:lang w:val="en-GB"/>
        </w:rPr>
        <w:t>No gifts, material advantages or benefits may be provided, offered or promised to a healthcare professional and his/her family members, in particular:</w:t>
      </w:r>
    </w:p>
    <w:p w:rsidR="00D475D6" w:rsidRPr="000C3D19" w:rsidRDefault="00D475D6" w:rsidP="00D475D6">
      <w:pPr>
        <w:numPr>
          <w:ilvl w:val="0"/>
          <w:numId w:val="2"/>
        </w:numPr>
        <w:rPr>
          <w:rStyle w:val="Strong"/>
          <w:b w:val="0"/>
          <w:bCs w:val="0"/>
          <w:sz w:val="22"/>
          <w:lang w:val="en-GB"/>
        </w:rPr>
      </w:pPr>
      <w:r w:rsidRPr="000C3D19">
        <w:rPr>
          <w:rStyle w:val="Strong"/>
          <w:b w:val="0"/>
          <w:bCs w:val="0"/>
          <w:sz w:val="22"/>
          <w:lang w:val="en-GB"/>
        </w:rPr>
        <w:t>tickets to entertainment and sports events;</w:t>
      </w:r>
    </w:p>
    <w:p w:rsidR="00D475D6" w:rsidRPr="000C3D19" w:rsidRDefault="00D475D6" w:rsidP="00D475D6">
      <w:pPr>
        <w:numPr>
          <w:ilvl w:val="0"/>
          <w:numId w:val="2"/>
        </w:numPr>
        <w:rPr>
          <w:rStyle w:val="Strong"/>
          <w:b w:val="0"/>
          <w:bCs w:val="0"/>
          <w:sz w:val="22"/>
          <w:lang w:val="en-GB"/>
        </w:rPr>
      </w:pPr>
      <w:r w:rsidRPr="000C3D19">
        <w:rPr>
          <w:rStyle w:val="Strong"/>
          <w:b w:val="0"/>
          <w:bCs w:val="0"/>
          <w:sz w:val="22"/>
          <w:lang w:val="en-GB"/>
        </w:rPr>
        <w:t>alcoholic beverages;</w:t>
      </w:r>
    </w:p>
    <w:p w:rsidR="00D475D6" w:rsidRPr="000C3D19" w:rsidRDefault="00D475D6" w:rsidP="00D475D6">
      <w:pPr>
        <w:numPr>
          <w:ilvl w:val="0"/>
          <w:numId w:val="2"/>
        </w:numPr>
        <w:rPr>
          <w:rStyle w:val="Strong"/>
          <w:b w:val="0"/>
          <w:bCs w:val="0"/>
          <w:sz w:val="22"/>
          <w:lang w:val="en-GB"/>
        </w:rPr>
      </w:pPr>
      <w:r w:rsidRPr="000C3D19">
        <w:rPr>
          <w:rStyle w:val="Strong"/>
          <w:b w:val="0"/>
          <w:bCs w:val="0"/>
          <w:sz w:val="22"/>
          <w:lang w:val="en-GB"/>
        </w:rPr>
        <w:t>cigarettes;</w:t>
      </w:r>
    </w:p>
    <w:p w:rsidR="00D475D6" w:rsidRPr="000C3D19" w:rsidRDefault="00D475D6" w:rsidP="00D475D6">
      <w:pPr>
        <w:numPr>
          <w:ilvl w:val="0"/>
          <w:numId w:val="2"/>
        </w:numPr>
        <w:rPr>
          <w:rStyle w:val="Strong"/>
          <w:b w:val="0"/>
          <w:bCs w:val="0"/>
          <w:sz w:val="22"/>
          <w:lang w:val="en-GB"/>
        </w:rPr>
      </w:pPr>
      <w:r w:rsidRPr="000C3D19">
        <w:rPr>
          <w:rStyle w:val="Strong"/>
          <w:b w:val="0"/>
          <w:bCs w:val="0"/>
          <w:sz w:val="22"/>
          <w:lang w:val="en-GB"/>
        </w:rPr>
        <w:t>money;</w:t>
      </w:r>
    </w:p>
    <w:p w:rsidR="00D475D6" w:rsidRPr="000C3D19" w:rsidRDefault="00D475D6" w:rsidP="00D475D6">
      <w:pPr>
        <w:numPr>
          <w:ilvl w:val="0"/>
          <w:numId w:val="2"/>
        </w:numPr>
        <w:rPr>
          <w:rStyle w:val="Strong"/>
          <w:b w:val="0"/>
          <w:bCs w:val="0"/>
          <w:sz w:val="22"/>
          <w:lang w:val="en-GB"/>
        </w:rPr>
      </w:pPr>
      <w:r w:rsidRPr="000C3D19">
        <w:rPr>
          <w:rStyle w:val="Strong"/>
          <w:b w:val="0"/>
          <w:bCs w:val="0"/>
          <w:sz w:val="22"/>
          <w:lang w:val="en-GB"/>
        </w:rPr>
        <w:t>gift cards;</w:t>
      </w:r>
    </w:p>
    <w:p w:rsidR="00D475D6" w:rsidRPr="000C3D19" w:rsidRDefault="00D475D6" w:rsidP="00D475D6">
      <w:pPr>
        <w:numPr>
          <w:ilvl w:val="0"/>
          <w:numId w:val="2"/>
        </w:numPr>
        <w:rPr>
          <w:rStyle w:val="Strong"/>
          <w:b w:val="0"/>
          <w:bCs w:val="0"/>
          <w:sz w:val="22"/>
          <w:lang w:val="en-GB"/>
        </w:rPr>
      </w:pPr>
      <w:r w:rsidRPr="000C3D19">
        <w:rPr>
          <w:rStyle w:val="Strong"/>
          <w:b w:val="0"/>
          <w:bCs w:val="0"/>
          <w:sz w:val="22"/>
          <w:lang w:val="en-GB"/>
        </w:rPr>
        <w:t>computers;</w:t>
      </w:r>
    </w:p>
    <w:p w:rsidR="00D475D6" w:rsidRPr="000C3D19" w:rsidRDefault="00D475D6" w:rsidP="00D475D6">
      <w:pPr>
        <w:numPr>
          <w:ilvl w:val="0"/>
          <w:numId w:val="2"/>
        </w:numPr>
        <w:rPr>
          <w:rStyle w:val="Strong"/>
          <w:b w:val="0"/>
          <w:bCs w:val="0"/>
          <w:sz w:val="22"/>
          <w:lang w:val="en-GB"/>
        </w:rPr>
      </w:pPr>
      <w:r w:rsidRPr="000C3D19">
        <w:rPr>
          <w:rStyle w:val="Strong"/>
          <w:b w:val="0"/>
          <w:bCs w:val="0"/>
          <w:sz w:val="22"/>
          <w:lang w:val="en-GB"/>
        </w:rPr>
        <w:t>furniture;</w:t>
      </w:r>
    </w:p>
    <w:p w:rsidR="00D475D6" w:rsidRPr="000C3D19" w:rsidRDefault="00D475D6" w:rsidP="00D475D6">
      <w:pPr>
        <w:numPr>
          <w:ilvl w:val="0"/>
          <w:numId w:val="2"/>
        </w:numPr>
        <w:rPr>
          <w:rStyle w:val="Strong"/>
          <w:b w:val="0"/>
          <w:bCs w:val="0"/>
          <w:sz w:val="22"/>
          <w:lang w:val="en-GB"/>
        </w:rPr>
      </w:pPr>
      <w:r w:rsidRPr="000C3D19">
        <w:rPr>
          <w:rStyle w:val="Strong"/>
          <w:b w:val="0"/>
          <w:bCs w:val="0"/>
          <w:sz w:val="22"/>
          <w:lang w:val="en-GB"/>
        </w:rPr>
        <w:t>telephones;</w:t>
      </w:r>
    </w:p>
    <w:p w:rsidR="00D475D6" w:rsidRPr="000C3D19" w:rsidRDefault="00D475D6" w:rsidP="00D475D6">
      <w:pPr>
        <w:numPr>
          <w:ilvl w:val="0"/>
          <w:numId w:val="2"/>
        </w:numPr>
        <w:rPr>
          <w:rStyle w:val="Strong"/>
          <w:b w:val="0"/>
          <w:bCs w:val="0"/>
          <w:sz w:val="22"/>
          <w:lang w:val="en-GB"/>
        </w:rPr>
      </w:pPr>
      <w:r w:rsidRPr="000C3D19">
        <w:rPr>
          <w:rStyle w:val="Strong"/>
          <w:b w:val="0"/>
          <w:bCs w:val="0"/>
          <w:sz w:val="22"/>
          <w:lang w:val="en-GB"/>
        </w:rPr>
        <w:t>facsimile machines;</w:t>
      </w:r>
    </w:p>
    <w:p w:rsidR="00D475D6" w:rsidRPr="000C3D19" w:rsidRDefault="00D475D6" w:rsidP="00D475D6">
      <w:pPr>
        <w:numPr>
          <w:ilvl w:val="0"/>
          <w:numId w:val="2"/>
        </w:numPr>
        <w:rPr>
          <w:rStyle w:val="Strong"/>
          <w:b w:val="0"/>
          <w:bCs w:val="0"/>
          <w:sz w:val="22"/>
          <w:lang w:val="en-GB"/>
        </w:rPr>
      </w:pPr>
      <w:r w:rsidRPr="000C3D19">
        <w:rPr>
          <w:rStyle w:val="Strong"/>
          <w:b w:val="0"/>
          <w:bCs w:val="0"/>
          <w:sz w:val="22"/>
          <w:lang w:val="en-GB"/>
        </w:rPr>
        <w:t>TV sets;</w:t>
      </w:r>
    </w:p>
    <w:p w:rsidR="00D475D6" w:rsidRPr="000C3D19" w:rsidRDefault="00D475D6" w:rsidP="00D475D6">
      <w:pPr>
        <w:numPr>
          <w:ilvl w:val="0"/>
          <w:numId w:val="2"/>
        </w:numPr>
        <w:rPr>
          <w:rStyle w:val="Strong"/>
          <w:b w:val="0"/>
          <w:bCs w:val="0"/>
          <w:i/>
          <w:iCs/>
          <w:sz w:val="22"/>
          <w:lang w:val="en-GB"/>
        </w:rPr>
      </w:pPr>
      <w:proofErr w:type="gramStart"/>
      <w:r w:rsidRPr="000C3D19">
        <w:rPr>
          <w:rStyle w:val="Strong"/>
          <w:b w:val="0"/>
          <w:bCs w:val="0"/>
          <w:sz w:val="22"/>
          <w:lang w:val="en-GB"/>
        </w:rPr>
        <w:t>other</w:t>
      </w:r>
      <w:proofErr w:type="gramEnd"/>
      <w:r w:rsidRPr="000C3D19">
        <w:rPr>
          <w:rStyle w:val="Strong"/>
          <w:b w:val="0"/>
          <w:bCs w:val="0"/>
          <w:sz w:val="22"/>
          <w:lang w:val="en-GB"/>
        </w:rPr>
        <w:t xml:space="preserve"> similar benefits not directly related to the health care.</w:t>
      </w:r>
    </w:p>
    <w:p w:rsidR="00D475D6" w:rsidRPr="000C3D19" w:rsidRDefault="00D475D6" w:rsidP="00D475D6">
      <w:pPr>
        <w:rPr>
          <w:rStyle w:val="Strong"/>
          <w:b w:val="0"/>
          <w:bCs w:val="0"/>
          <w:i/>
          <w:iCs/>
          <w:sz w:val="22"/>
          <w:lang w:val="en-GB"/>
        </w:rPr>
      </w:pPr>
      <w:r w:rsidRPr="000C3D19">
        <w:rPr>
          <w:rStyle w:val="Strong"/>
          <w:b w:val="0"/>
          <w:bCs w:val="0"/>
          <w:i/>
          <w:iCs/>
          <w:sz w:val="22"/>
          <w:lang w:val="en-GB"/>
        </w:rPr>
        <w:t>Note:</w:t>
      </w:r>
    </w:p>
    <w:p w:rsidR="00D475D6" w:rsidRPr="000C3D19" w:rsidRDefault="00D475D6" w:rsidP="00D475D6">
      <w:pPr>
        <w:rPr>
          <w:rStyle w:val="Strong"/>
          <w:b w:val="0"/>
          <w:bCs w:val="0"/>
          <w:sz w:val="22"/>
          <w:lang w:val="en-GB"/>
        </w:rPr>
      </w:pPr>
      <w:r w:rsidRPr="000C3D19">
        <w:rPr>
          <w:rStyle w:val="Strong"/>
          <w:b w:val="0"/>
          <w:bCs w:val="0"/>
          <w:i/>
          <w:iCs/>
          <w:sz w:val="22"/>
          <w:lang w:val="en-GB"/>
        </w:rPr>
        <w:t>The prohibition is not limited to examples listed in Sections 14.1 to 14.11.</w:t>
      </w:r>
    </w:p>
    <w:p w:rsidR="00D475D6" w:rsidRPr="000C3D19" w:rsidRDefault="00D475D6" w:rsidP="00D475D6">
      <w:pPr>
        <w:numPr>
          <w:ilvl w:val="0"/>
          <w:numId w:val="1"/>
        </w:numPr>
        <w:rPr>
          <w:rStyle w:val="Strong"/>
          <w:b w:val="0"/>
          <w:bCs w:val="0"/>
          <w:sz w:val="22"/>
          <w:lang w:val="en-GB"/>
        </w:rPr>
      </w:pPr>
      <w:r w:rsidRPr="000C3D19">
        <w:rPr>
          <w:rStyle w:val="Strong"/>
          <w:b w:val="0"/>
          <w:bCs w:val="0"/>
          <w:sz w:val="22"/>
          <w:lang w:val="en-GB"/>
        </w:rPr>
        <w:t>It is allowed to offer, promise or present the following gifts to a healthcare professionals:</w:t>
      </w:r>
    </w:p>
    <w:p w:rsidR="00D475D6" w:rsidRPr="000C3D19" w:rsidRDefault="00D475D6" w:rsidP="00D475D6">
      <w:pPr>
        <w:numPr>
          <w:ilvl w:val="1"/>
          <w:numId w:val="1"/>
        </w:numPr>
        <w:ind w:left="993" w:hanging="567"/>
        <w:rPr>
          <w:rStyle w:val="Strong"/>
          <w:b w:val="0"/>
          <w:bCs w:val="0"/>
          <w:sz w:val="22"/>
          <w:lang w:val="en-GB"/>
        </w:rPr>
      </w:pPr>
      <w:proofErr w:type="gramStart"/>
      <w:r w:rsidRPr="000C3D19">
        <w:rPr>
          <w:rStyle w:val="Strong"/>
          <w:b w:val="0"/>
          <w:bCs w:val="0"/>
          <w:sz w:val="22"/>
          <w:lang w:val="en-GB"/>
        </w:rPr>
        <w:t>according</w:t>
      </w:r>
      <w:proofErr w:type="gramEnd"/>
      <w:r w:rsidR="002974E7">
        <w:rPr>
          <w:rStyle w:val="Strong"/>
          <w:b w:val="0"/>
          <w:bCs w:val="0"/>
          <w:sz w:val="22"/>
          <w:lang w:val="en-GB"/>
        </w:rPr>
        <w:t xml:space="preserve"> to Section</w:t>
      </w:r>
      <w:r w:rsidRPr="000C3D19">
        <w:rPr>
          <w:rStyle w:val="Strong"/>
          <w:b w:val="0"/>
          <w:bCs w:val="0"/>
          <w:sz w:val="22"/>
          <w:lang w:val="en-GB"/>
        </w:rPr>
        <w:t xml:space="preserve"> 8.02 of the Code: items of medical utility, unless the value of one item does not exceed EUR 10 (value-added-tax excluded). </w:t>
      </w:r>
    </w:p>
    <w:p w:rsidR="00D475D6" w:rsidRPr="000C3D19" w:rsidRDefault="002974E7" w:rsidP="00D475D6">
      <w:pPr>
        <w:numPr>
          <w:ilvl w:val="1"/>
          <w:numId w:val="1"/>
        </w:numPr>
        <w:ind w:left="993" w:hanging="567"/>
        <w:rPr>
          <w:rStyle w:val="Strong"/>
          <w:b w:val="0"/>
          <w:bCs w:val="0"/>
          <w:sz w:val="22"/>
          <w:lang w:val="en-GB"/>
        </w:rPr>
      </w:pPr>
      <w:proofErr w:type="gramStart"/>
      <w:r>
        <w:rPr>
          <w:rStyle w:val="Strong"/>
          <w:b w:val="0"/>
          <w:bCs w:val="0"/>
          <w:sz w:val="22"/>
          <w:lang w:val="en-GB"/>
        </w:rPr>
        <w:t>according</w:t>
      </w:r>
      <w:proofErr w:type="gramEnd"/>
      <w:r>
        <w:rPr>
          <w:rStyle w:val="Strong"/>
          <w:b w:val="0"/>
          <w:bCs w:val="0"/>
          <w:sz w:val="22"/>
          <w:lang w:val="en-GB"/>
        </w:rPr>
        <w:t xml:space="preserve"> to Section</w:t>
      </w:r>
      <w:r w:rsidR="00D475D6" w:rsidRPr="000C3D19">
        <w:rPr>
          <w:rStyle w:val="Strong"/>
          <w:b w:val="0"/>
          <w:bCs w:val="0"/>
          <w:sz w:val="22"/>
          <w:lang w:val="en-GB"/>
        </w:rPr>
        <w:t xml:space="preserve"> 8.01 of the Code: informative or educational materials, unless the value of one material does not exceed EUR 10 (value-added-tax excluded).</w:t>
      </w:r>
    </w:p>
    <w:p w:rsidR="00D475D6" w:rsidRPr="000C3D19" w:rsidRDefault="00D475D6" w:rsidP="00D475D6">
      <w:pPr>
        <w:numPr>
          <w:ilvl w:val="1"/>
          <w:numId w:val="1"/>
        </w:numPr>
        <w:ind w:left="993" w:hanging="567"/>
        <w:rPr>
          <w:lang w:val="en-GB"/>
        </w:rPr>
      </w:pPr>
      <w:r w:rsidRPr="000C3D19">
        <w:rPr>
          <w:rStyle w:val="Strong"/>
          <w:b w:val="0"/>
          <w:bCs w:val="0"/>
          <w:sz w:val="22"/>
          <w:lang w:val="en-GB"/>
        </w:rPr>
        <w:t xml:space="preserve">Article 12 of the Code and provisions of the Section III hereof shall apply to items of medical utility, informative or educational materials of value above EUR 10 (value-added-tax excluded) to which provisions of the Section 8.01 of the Code do not apply. </w:t>
      </w:r>
    </w:p>
    <w:p w:rsidR="00D475D6" w:rsidRPr="000C3D19" w:rsidRDefault="00D475D6" w:rsidP="00D475D6">
      <w:pPr>
        <w:rPr>
          <w:lang w:val="en-GB"/>
        </w:rPr>
      </w:pPr>
    </w:p>
    <w:p w:rsidR="00D475D6" w:rsidRPr="000C3D19" w:rsidRDefault="00D475D6" w:rsidP="00D475D6">
      <w:pPr>
        <w:rPr>
          <w:lang w:val="en-GB"/>
        </w:rPr>
      </w:pPr>
      <w:r w:rsidRPr="000C3D19">
        <w:rPr>
          <w:rStyle w:val="Strong"/>
          <w:bCs w:val="0"/>
          <w:sz w:val="22"/>
          <w:lang w:val="en-GB"/>
        </w:rPr>
        <w:t xml:space="preserve">Section VII. Remuneration of healthcare workers </w:t>
      </w:r>
    </w:p>
    <w:p w:rsidR="00D475D6" w:rsidRPr="000C3D19" w:rsidRDefault="00D475D6" w:rsidP="00D475D6">
      <w:pPr>
        <w:rPr>
          <w:lang w:val="en-GB"/>
        </w:rPr>
      </w:pPr>
    </w:p>
    <w:p w:rsidR="00D475D6" w:rsidRPr="000C3D19" w:rsidRDefault="00D475D6" w:rsidP="00D475D6">
      <w:pPr>
        <w:numPr>
          <w:ilvl w:val="0"/>
          <w:numId w:val="1"/>
        </w:numPr>
        <w:rPr>
          <w:rStyle w:val="Strong"/>
          <w:b w:val="0"/>
          <w:bCs w:val="0"/>
          <w:sz w:val="22"/>
          <w:lang w:val="en-GB"/>
        </w:rPr>
      </w:pPr>
      <w:r w:rsidRPr="000C3D19">
        <w:rPr>
          <w:rStyle w:val="Strong"/>
          <w:b w:val="0"/>
          <w:bCs w:val="0"/>
          <w:sz w:val="22"/>
          <w:lang w:val="en-GB"/>
        </w:rPr>
        <w:t xml:space="preserve">Cooperation between the Pharmaceutical Company and physicians in clinical, epidemiological and genetic trials is essential for new medicines development, in-depth studies of medicines and gaining information on optimal administration of medicines to the patient’s best interests. All such trials and studies must meet the following principles: </w:t>
      </w:r>
    </w:p>
    <w:p w:rsidR="00D475D6" w:rsidRPr="000C3D19" w:rsidRDefault="00D475D6" w:rsidP="00D475D6">
      <w:pPr>
        <w:numPr>
          <w:ilvl w:val="1"/>
          <w:numId w:val="1"/>
        </w:numPr>
        <w:ind w:left="993" w:hanging="567"/>
        <w:rPr>
          <w:rStyle w:val="Strong"/>
          <w:b w:val="0"/>
          <w:bCs w:val="0"/>
          <w:sz w:val="22"/>
          <w:lang w:val="en-GB"/>
        </w:rPr>
      </w:pPr>
      <w:r w:rsidRPr="000C3D19">
        <w:rPr>
          <w:rStyle w:val="Strong"/>
          <w:b w:val="0"/>
          <w:bCs w:val="0"/>
          <w:sz w:val="22"/>
          <w:lang w:val="en-GB"/>
        </w:rPr>
        <w:lastRenderedPageBreak/>
        <w:t xml:space="preserve">A Pharmaceutical Company is only entitled to render financial, organisational and other support (incl., remuneration for a physician’s work during the trial/study) to such events as registered by the State Agency of Medicines (SAM). In such cases the Pharmaceutical Company’s contribution must be precisely indicated in the documentation to be submitted to the SAM, handed out to trial participants, trial subjects and so on. </w:t>
      </w:r>
    </w:p>
    <w:p w:rsidR="00D475D6" w:rsidRPr="000C3D19" w:rsidRDefault="00D475D6" w:rsidP="00D475D6">
      <w:pPr>
        <w:numPr>
          <w:ilvl w:val="1"/>
          <w:numId w:val="1"/>
        </w:numPr>
        <w:ind w:left="993" w:hanging="567"/>
        <w:rPr>
          <w:rStyle w:val="Strong"/>
          <w:b w:val="0"/>
          <w:bCs w:val="0"/>
          <w:sz w:val="22"/>
          <w:lang w:val="en-GB"/>
        </w:rPr>
      </w:pPr>
      <w:r w:rsidRPr="000C3D19">
        <w:rPr>
          <w:rStyle w:val="Strong"/>
          <w:b w:val="0"/>
          <w:bCs w:val="0"/>
          <w:sz w:val="22"/>
          <w:lang w:val="en-GB"/>
        </w:rPr>
        <w:t xml:space="preserve">Physician’s remuneration, whatever it may be, must be related to the work performed. </w:t>
      </w:r>
    </w:p>
    <w:p w:rsidR="00D475D6" w:rsidRPr="000C3D19" w:rsidRDefault="00D475D6" w:rsidP="00D475D6">
      <w:pPr>
        <w:numPr>
          <w:ilvl w:val="1"/>
          <w:numId w:val="1"/>
        </w:numPr>
        <w:ind w:left="993" w:hanging="567"/>
        <w:rPr>
          <w:rStyle w:val="Strong"/>
          <w:b w:val="0"/>
          <w:bCs w:val="0"/>
          <w:sz w:val="22"/>
          <w:lang w:val="en-GB"/>
        </w:rPr>
      </w:pPr>
      <w:r w:rsidRPr="000C3D19">
        <w:rPr>
          <w:rStyle w:val="Strong"/>
          <w:b w:val="0"/>
          <w:bCs w:val="0"/>
          <w:sz w:val="22"/>
          <w:lang w:val="en-GB"/>
        </w:rPr>
        <w:t xml:space="preserve">Remuneration must not be related to any expected trial result. </w:t>
      </w:r>
    </w:p>
    <w:p w:rsidR="00D475D6" w:rsidRPr="00A22B08" w:rsidRDefault="00D475D6" w:rsidP="00D475D6">
      <w:pPr>
        <w:numPr>
          <w:ilvl w:val="0"/>
          <w:numId w:val="1"/>
        </w:numPr>
        <w:rPr>
          <w:sz w:val="22"/>
          <w:lang w:val="en-GB"/>
        </w:rPr>
      </w:pPr>
      <w:r w:rsidRPr="000C3D19">
        <w:rPr>
          <w:rStyle w:val="Strong"/>
          <w:b w:val="0"/>
          <w:bCs w:val="0"/>
          <w:sz w:val="22"/>
          <w:lang w:val="en-GB"/>
        </w:rPr>
        <w:t>A physician may be paid remuneration for a preparation and deliver of a lecture, for providing a consultation and expert opinions for the industry. Remuneration for the physician’s work must be directly related to the volume of the performed work.</w:t>
      </w:r>
    </w:p>
    <w:p w:rsidR="009E7CE0" w:rsidRPr="00D475D6" w:rsidRDefault="009E7CE0">
      <w:pPr>
        <w:rPr>
          <w:lang w:val="en-GB"/>
        </w:rPr>
      </w:pPr>
    </w:p>
    <w:sectPr w:rsidR="009E7CE0" w:rsidRPr="00D475D6" w:rsidSect="00FD0440">
      <w:pgSz w:w="11906" w:h="16838"/>
      <w:pgMar w:top="1079" w:right="1106" w:bottom="899" w:left="126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12416"/>
    <w:multiLevelType w:val="multilevel"/>
    <w:tmpl w:val="3F121D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C270F27"/>
    <w:multiLevelType w:val="hybridMultilevel"/>
    <w:tmpl w:val="4288E588"/>
    <w:lvl w:ilvl="0" w:tplc="9BA2FC4A">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06993"/>
    <w:rsid w:val="00006993"/>
    <w:rsid w:val="00131A4F"/>
    <w:rsid w:val="002974E7"/>
    <w:rsid w:val="0031457B"/>
    <w:rsid w:val="009E7CE0"/>
    <w:rsid w:val="00D01DB6"/>
    <w:rsid w:val="00D475D6"/>
    <w:rsid w:val="00E5636F"/>
    <w:rsid w:val="00FD0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D6"/>
    <w:pPr>
      <w:suppressAutoHyphens/>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qFormat/>
    <w:rsid w:val="00D475D6"/>
    <w:pPr>
      <w:keepNext/>
      <w:outlineLvl w:val="3"/>
    </w:pPr>
    <w:rPr>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475D6"/>
    <w:rPr>
      <w:rFonts w:ascii="Times New Roman" w:eastAsia="Times New Roman" w:hAnsi="Times New Roman" w:cs="Times New Roman"/>
      <w:b/>
      <w:bCs/>
      <w:sz w:val="24"/>
      <w:szCs w:val="20"/>
      <w:lang w:val="en-US" w:eastAsia="ar-SA"/>
    </w:rPr>
  </w:style>
  <w:style w:type="character" w:styleId="Strong">
    <w:name w:val="Strong"/>
    <w:qFormat/>
    <w:rsid w:val="00D475D6"/>
    <w:rPr>
      <w:b/>
      <w:bCs/>
    </w:rPr>
  </w:style>
  <w:style w:type="character" w:styleId="Hyperlink">
    <w:name w:val="Hyperlink"/>
    <w:basedOn w:val="DefaultParagraphFont"/>
    <w:rsid w:val="00D475D6"/>
    <w:rPr>
      <w:color w:val="0000FF"/>
      <w:u w:val="single"/>
    </w:rPr>
  </w:style>
  <w:style w:type="paragraph" w:styleId="NormalWeb">
    <w:name w:val="Normal (Web)"/>
    <w:basedOn w:val="Normal"/>
    <w:rsid w:val="00D475D6"/>
    <w:rPr>
      <w:lang w:val="en-GB"/>
    </w:rPr>
  </w:style>
  <w:style w:type="paragraph" w:styleId="BalloonText">
    <w:name w:val="Balloon Text"/>
    <w:basedOn w:val="Normal"/>
    <w:link w:val="BalloonTextChar"/>
    <w:uiPriority w:val="99"/>
    <w:semiHidden/>
    <w:unhideWhenUsed/>
    <w:rsid w:val="00D475D6"/>
    <w:rPr>
      <w:rFonts w:ascii="Tahoma" w:hAnsi="Tahoma" w:cs="Tahoma"/>
      <w:sz w:val="16"/>
      <w:szCs w:val="16"/>
    </w:rPr>
  </w:style>
  <w:style w:type="character" w:customStyle="1" w:styleId="BalloonTextChar">
    <w:name w:val="Balloon Text Char"/>
    <w:basedOn w:val="DefaultParagraphFont"/>
    <w:link w:val="BalloonText"/>
    <w:uiPriority w:val="99"/>
    <w:semiHidden/>
    <w:rsid w:val="00D475D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ma@lpma.lv"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ffa@siffa.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1870</Words>
  <Characters>10665</Characters>
  <Application>Microsoft Office Word</Application>
  <DocSecurity>0</DocSecurity>
  <Lines>88</Lines>
  <Paragraphs>25</Paragraphs>
  <ScaleCrop>false</ScaleCrop>
  <Company>Deftones</Company>
  <LinksUpToDate>false</LinksUpToDate>
  <CharactersWithSpaces>12510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P6000</cp:lastModifiedBy>
  <cp:revision>2</cp:revision>
  <dcterms:created xsi:type="dcterms:W3CDTF">2015-12-01T17:45:00Z</dcterms:created>
  <dcterms:modified xsi:type="dcterms:W3CDTF">2015-12-01T17:45:00Z</dcterms:modified>
</cp:coreProperties>
</file>