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F311" w14:textId="77777777" w:rsidR="007B7C7E" w:rsidRDefault="007B7C7E" w:rsidP="00250274">
      <w:pPr>
        <w:widowControl w:val="0"/>
        <w:autoSpaceDE w:val="0"/>
        <w:autoSpaceDN w:val="0"/>
        <w:adjustRightInd w:val="0"/>
        <w:spacing w:after="0" w:line="240" w:lineRule="auto"/>
        <w:ind w:left="1322"/>
        <w:rPr>
          <w:rFonts w:ascii="Times New Roman" w:hAnsi="Times New Roman"/>
          <w:sz w:val="20"/>
          <w:szCs w:val="20"/>
        </w:rPr>
      </w:pPr>
    </w:p>
    <w:p w14:paraId="6F93D001" w14:textId="77777777" w:rsidR="007B7C7E" w:rsidRDefault="007B7C7E" w:rsidP="00250274">
      <w:pPr>
        <w:widowControl w:val="0"/>
        <w:autoSpaceDE w:val="0"/>
        <w:autoSpaceDN w:val="0"/>
        <w:adjustRightInd w:val="0"/>
        <w:spacing w:after="0" w:line="240" w:lineRule="auto"/>
        <w:ind w:left="1322"/>
        <w:rPr>
          <w:rFonts w:ascii="Times New Roman" w:hAnsi="Times New Roman"/>
          <w:sz w:val="20"/>
          <w:szCs w:val="20"/>
        </w:rPr>
      </w:pPr>
    </w:p>
    <w:p w14:paraId="149FA7E2" w14:textId="77777777" w:rsidR="00881AFF" w:rsidRPr="00BC7BEE" w:rsidRDefault="00417CB7" w:rsidP="00250274">
      <w:pPr>
        <w:widowControl w:val="0"/>
        <w:autoSpaceDE w:val="0"/>
        <w:autoSpaceDN w:val="0"/>
        <w:adjustRightInd w:val="0"/>
        <w:spacing w:after="0" w:line="240" w:lineRule="auto"/>
        <w:ind w:left="1322"/>
        <w:rPr>
          <w:rFonts w:ascii="Times New Roman" w:hAnsi="Times New Roman"/>
          <w:sz w:val="20"/>
          <w:szCs w:val="20"/>
        </w:rPr>
      </w:pPr>
      <w:r>
        <w:rPr>
          <w:noProof/>
          <w:lang w:bidi="en-US"/>
        </w:rPr>
        <w:drawing>
          <wp:inline distT="0" distB="0" distL="0" distR="0" wp14:anchorId="3626B8DA" wp14:editId="068E5C24">
            <wp:extent cx="1644238" cy="411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5"/>
                    <a:stretch>
                      <a:fillRect/>
                    </a:stretch>
                  </pic:blipFill>
                  <pic:spPr>
                    <a:xfrm>
                      <a:off x="0" y="0"/>
                      <a:ext cx="1670552" cy="417638"/>
                    </a:xfrm>
                    <a:prstGeom prst="rect">
                      <a:avLst/>
                    </a:prstGeom>
                  </pic:spPr>
                </pic:pic>
              </a:graphicData>
            </a:graphic>
          </wp:inline>
        </w:drawing>
      </w:r>
    </w:p>
    <w:p w14:paraId="4BF843C5" w14:textId="77777777" w:rsidR="00881AFF" w:rsidRPr="00BC7BEE" w:rsidRDefault="00881AFF" w:rsidP="00881AFF">
      <w:pPr>
        <w:widowControl w:val="0"/>
        <w:autoSpaceDE w:val="0"/>
        <w:autoSpaceDN w:val="0"/>
        <w:adjustRightInd w:val="0"/>
        <w:spacing w:before="2" w:after="0" w:line="200" w:lineRule="exact"/>
        <w:rPr>
          <w:rFonts w:ascii="Times New Roman" w:hAnsi="Times New Roman"/>
          <w:sz w:val="20"/>
          <w:szCs w:val="20"/>
        </w:rPr>
      </w:pPr>
    </w:p>
    <w:p w14:paraId="0E4CBF07" w14:textId="77777777" w:rsidR="00881AFF" w:rsidRPr="00BC7BEE" w:rsidRDefault="00881AFF" w:rsidP="00881AFF">
      <w:pPr>
        <w:widowControl w:val="0"/>
        <w:autoSpaceDE w:val="0"/>
        <w:autoSpaceDN w:val="0"/>
        <w:adjustRightInd w:val="0"/>
        <w:spacing w:before="2" w:after="0" w:line="200" w:lineRule="exact"/>
        <w:rPr>
          <w:rFonts w:ascii="Times New Roman" w:hAnsi="Times New Roman"/>
          <w:sz w:val="20"/>
          <w:szCs w:val="20"/>
        </w:rPr>
        <w:sectPr w:rsidR="00881AFF" w:rsidRPr="00BC7BEE">
          <w:pgSz w:w="11920" w:h="16840"/>
          <w:pgMar w:top="440" w:right="920" w:bottom="280" w:left="1220" w:header="720" w:footer="720" w:gutter="0"/>
          <w:cols w:space="720"/>
          <w:noEndnote/>
        </w:sectPr>
      </w:pPr>
    </w:p>
    <w:p w14:paraId="31491695" w14:textId="77777777" w:rsidR="00881AFF" w:rsidRPr="007B7C7E" w:rsidRDefault="00881AFF" w:rsidP="00881AFF">
      <w:pPr>
        <w:widowControl w:val="0"/>
        <w:autoSpaceDE w:val="0"/>
        <w:autoSpaceDN w:val="0"/>
        <w:adjustRightInd w:val="0"/>
        <w:spacing w:before="30" w:after="0" w:line="298" w:lineRule="exact"/>
        <w:ind w:left="83" w:right="-22"/>
        <w:jc w:val="center"/>
        <w:rPr>
          <w:rFonts w:asciiTheme="minorHAnsi" w:hAnsiTheme="minorHAnsi" w:cstheme="minorHAnsi"/>
          <w:sz w:val="26"/>
          <w:szCs w:val="26"/>
        </w:rPr>
      </w:pPr>
      <w:r w:rsidRPr="007B7C7E">
        <w:rPr>
          <w:b/>
          <w:sz w:val="26"/>
          <w:lang w:bidi="en-US"/>
        </w:rPr>
        <w:t>Association of International Innovative Pharmaceuticals Producers</w:t>
      </w:r>
    </w:p>
    <w:p w14:paraId="5BF41DF4" w14:textId="77777777" w:rsidR="00881AFF" w:rsidRPr="007B7C7E" w:rsidRDefault="00881AFF" w:rsidP="00881AFF">
      <w:pPr>
        <w:widowControl w:val="0"/>
        <w:autoSpaceDE w:val="0"/>
        <w:autoSpaceDN w:val="0"/>
        <w:adjustRightInd w:val="0"/>
        <w:spacing w:before="4" w:after="0" w:line="170" w:lineRule="exact"/>
        <w:rPr>
          <w:rFonts w:asciiTheme="minorHAnsi" w:hAnsiTheme="minorHAnsi" w:cstheme="minorHAnsi"/>
          <w:sz w:val="17"/>
          <w:szCs w:val="17"/>
        </w:rPr>
      </w:pPr>
    </w:p>
    <w:p w14:paraId="3F2E12F3" w14:textId="77777777" w:rsidR="00881AFF" w:rsidRPr="000E74D5" w:rsidRDefault="00881AFF" w:rsidP="00881AFF">
      <w:pPr>
        <w:widowControl w:val="0"/>
        <w:autoSpaceDE w:val="0"/>
        <w:autoSpaceDN w:val="0"/>
        <w:adjustRightInd w:val="0"/>
        <w:spacing w:after="0" w:line="240" w:lineRule="auto"/>
        <w:ind w:left="980" w:right="870"/>
        <w:jc w:val="center"/>
        <w:rPr>
          <w:rFonts w:asciiTheme="minorHAnsi" w:hAnsiTheme="minorHAnsi" w:cstheme="minorHAnsi"/>
          <w:sz w:val="20"/>
          <w:szCs w:val="20"/>
          <w:lang w:val="sv-SE"/>
        </w:rPr>
      </w:pPr>
      <w:r w:rsidRPr="000E74D5">
        <w:rPr>
          <w:sz w:val="20"/>
          <w:lang w:val="sv-SE" w:bidi="en-US"/>
        </w:rPr>
        <w:t xml:space="preserve">Skolas </w:t>
      </w:r>
      <w:proofErr w:type="spellStart"/>
      <w:r w:rsidR="00D30824">
        <w:rPr>
          <w:sz w:val="20"/>
          <w:lang w:val="sv-SE" w:bidi="en-US"/>
        </w:rPr>
        <w:t>street</w:t>
      </w:r>
      <w:proofErr w:type="spellEnd"/>
      <w:r w:rsidR="000E74D5">
        <w:rPr>
          <w:sz w:val="20"/>
          <w:lang w:val="sv-SE" w:bidi="en-US"/>
        </w:rPr>
        <w:t> </w:t>
      </w:r>
      <w:r w:rsidRPr="000E74D5">
        <w:rPr>
          <w:sz w:val="20"/>
          <w:lang w:val="sv-SE" w:bidi="en-US"/>
        </w:rPr>
        <w:t>3, Riga, LV-1010</w:t>
      </w:r>
    </w:p>
    <w:p w14:paraId="6599D109" w14:textId="77777777" w:rsidR="00881AFF" w:rsidRPr="000E74D5" w:rsidRDefault="00D30824" w:rsidP="00D30824">
      <w:pPr>
        <w:widowControl w:val="0"/>
        <w:autoSpaceDE w:val="0"/>
        <w:autoSpaceDN w:val="0"/>
        <w:adjustRightInd w:val="0"/>
        <w:spacing w:after="0" w:line="240" w:lineRule="auto"/>
        <w:ind w:right="1040"/>
        <w:rPr>
          <w:rFonts w:asciiTheme="minorHAnsi" w:hAnsiTheme="minorHAnsi" w:cstheme="minorHAnsi"/>
          <w:sz w:val="20"/>
          <w:szCs w:val="20"/>
          <w:lang w:val="sv-SE"/>
        </w:rPr>
      </w:pPr>
      <w:r>
        <w:rPr>
          <w:spacing w:val="3"/>
          <w:sz w:val="20"/>
          <w:lang w:val="sv-SE" w:bidi="en-US"/>
        </w:rPr>
        <w:t xml:space="preserve">                   </w:t>
      </w:r>
      <w:r w:rsidR="00881AFF" w:rsidRPr="000E74D5">
        <w:rPr>
          <w:spacing w:val="3"/>
          <w:sz w:val="20"/>
          <w:lang w:val="sv-SE" w:bidi="en-US"/>
        </w:rPr>
        <w:t>Telephone:</w:t>
      </w:r>
      <w:r>
        <w:rPr>
          <w:spacing w:val="3"/>
          <w:sz w:val="20"/>
          <w:lang w:val="sv-SE" w:bidi="en-US"/>
        </w:rPr>
        <w:t xml:space="preserve"> </w:t>
      </w:r>
      <w:r w:rsidR="00881AFF" w:rsidRPr="000E74D5">
        <w:rPr>
          <w:spacing w:val="3"/>
          <w:sz w:val="20"/>
          <w:lang w:val="sv-SE" w:bidi="en-US"/>
        </w:rPr>
        <w:t>+371 </w:t>
      </w:r>
      <w:proofErr w:type="gramStart"/>
      <w:r w:rsidR="00881AFF" w:rsidRPr="000E74D5">
        <w:rPr>
          <w:spacing w:val="3"/>
          <w:sz w:val="20"/>
          <w:lang w:val="sv-SE" w:bidi="en-US"/>
        </w:rPr>
        <w:t>29110062</w:t>
      </w:r>
      <w:proofErr w:type="gramEnd"/>
    </w:p>
    <w:p w14:paraId="58F54186" w14:textId="77777777" w:rsidR="006D3883" w:rsidRPr="000E74D5" w:rsidRDefault="00881AFF" w:rsidP="00881AFF">
      <w:pPr>
        <w:widowControl w:val="0"/>
        <w:autoSpaceDE w:val="0"/>
        <w:autoSpaceDN w:val="0"/>
        <w:adjustRightInd w:val="0"/>
        <w:spacing w:after="0" w:line="240" w:lineRule="auto"/>
        <w:ind w:left="1242" w:right="1139"/>
        <w:jc w:val="center"/>
        <w:rPr>
          <w:rStyle w:val="Hyperlink"/>
          <w:rFonts w:asciiTheme="minorHAnsi" w:hAnsiTheme="minorHAnsi" w:cstheme="minorHAnsi"/>
          <w:w w:val="99"/>
          <w:sz w:val="20"/>
          <w:szCs w:val="20"/>
          <w:lang w:val="sv-SE"/>
        </w:rPr>
      </w:pPr>
      <w:r w:rsidRPr="000E74D5">
        <w:rPr>
          <w:sz w:val="20"/>
          <w:lang w:val="sv-SE" w:bidi="en-US"/>
        </w:rPr>
        <w:t xml:space="preserve">e-mail: </w:t>
      </w:r>
      <w:hyperlink r:id="rId6" w:history="1">
        <w:r w:rsidR="006D3883" w:rsidRPr="000E74D5">
          <w:rPr>
            <w:rStyle w:val="Hyperlink"/>
            <w:sz w:val="20"/>
            <w:lang w:val="sv-SE" w:bidi="en-US"/>
          </w:rPr>
          <w:t>siffa@siffa.lv</w:t>
        </w:r>
      </w:hyperlink>
    </w:p>
    <w:p w14:paraId="53DFAA2A" w14:textId="77777777" w:rsidR="00881AFF" w:rsidRPr="000E74D5" w:rsidRDefault="00881AFF" w:rsidP="00881AFF">
      <w:pPr>
        <w:widowControl w:val="0"/>
        <w:autoSpaceDE w:val="0"/>
        <w:autoSpaceDN w:val="0"/>
        <w:adjustRightInd w:val="0"/>
        <w:spacing w:after="0" w:line="240" w:lineRule="auto"/>
        <w:ind w:left="1242" w:right="1139"/>
        <w:jc w:val="center"/>
        <w:rPr>
          <w:rFonts w:asciiTheme="minorHAnsi" w:hAnsiTheme="minorHAnsi" w:cstheme="minorHAnsi"/>
          <w:sz w:val="20"/>
          <w:szCs w:val="20"/>
          <w:lang w:val="sv-SE"/>
        </w:rPr>
      </w:pPr>
      <w:r w:rsidRPr="000E74D5">
        <w:rPr>
          <w:spacing w:val="-2"/>
          <w:sz w:val="20"/>
          <w:lang w:val="sv-SE" w:bidi="en-US"/>
        </w:rPr>
        <w:t xml:space="preserve">website: </w:t>
      </w:r>
      <w:hyperlink r:id="rId7" w:history="1">
        <w:r w:rsidR="001A5DDE" w:rsidRPr="000E74D5">
          <w:rPr>
            <w:rStyle w:val="Hyperlink"/>
            <w:w w:val="99"/>
            <w:sz w:val="20"/>
            <w:lang w:val="sv-SE" w:bidi="en-US"/>
          </w:rPr>
          <w:t>www.siffa.lv</w:t>
        </w:r>
      </w:hyperlink>
    </w:p>
    <w:p w14:paraId="468FEA18" w14:textId="77777777" w:rsidR="00881AFF" w:rsidRPr="000E74D5" w:rsidRDefault="00881AFF" w:rsidP="00881AFF">
      <w:pPr>
        <w:widowControl w:val="0"/>
        <w:autoSpaceDE w:val="0"/>
        <w:autoSpaceDN w:val="0"/>
        <w:adjustRightInd w:val="0"/>
        <w:spacing w:before="26" w:after="0" w:line="240" w:lineRule="auto"/>
        <w:ind w:left="134"/>
        <w:rPr>
          <w:rFonts w:asciiTheme="minorHAnsi" w:hAnsiTheme="minorHAnsi" w:cstheme="minorHAnsi"/>
          <w:sz w:val="26"/>
          <w:szCs w:val="26"/>
          <w:lang w:val="sv-SE"/>
        </w:rPr>
      </w:pPr>
      <w:r w:rsidRPr="000E74D5">
        <w:rPr>
          <w:sz w:val="20"/>
          <w:lang w:val="sv-SE" w:bidi="en-US"/>
        </w:rPr>
        <w:br w:type="column"/>
      </w:r>
      <w:r w:rsidR="00A51E6C">
        <w:rPr>
          <w:sz w:val="20"/>
          <w:lang w:val="sv-SE" w:bidi="en-US"/>
        </w:rPr>
        <w:t xml:space="preserve">        </w:t>
      </w:r>
      <w:proofErr w:type="spellStart"/>
      <w:r w:rsidRPr="000E74D5">
        <w:rPr>
          <w:b/>
          <w:sz w:val="26"/>
          <w:lang w:val="sv-SE" w:bidi="en-US"/>
        </w:rPr>
        <w:t>Latvian</w:t>
      </w:r>
      <w:proofErr w:type="spellEnd"/>
      <w:r w:rsidRPr="000E74D5">
        <w:rPr>
          <w:b/>
          <w:sz w:val="26"/>
          <w:lang w:val="sv-SE" w:bidi="en-US"/>
        </w:rPr>
        <w:t xml:space="preserve"> </w:t>
      </w:r>
      <w:proofErr w:type="spellStart"/>
      <w:r w:rsidRPr="000E74D5">
        <w:rPr>
          <w:b/>
          <w:sz w:val="26"/>
          <w:lang w:val="sv-SE" w:bidi="en-US"/>
        </w:rPr>
        <w:t>Generic</w:t>
      </w:r>
      <w:proofErr w:type="spellEnd"/>
      <w:r w:rsidRPr="000E74D5">
        <w:rPr>
          <w:b/>
          <w:sz w:val="26"/>
          <w:lang w:val="sv-SE" w:bidi="en-US"/>
        </w:rPr>
        <w:t xml:space="preserve"> </w:t>
      </w:r>
      <w:proofErr w:type="spellStart"/>
      <w:r w:rsidRPr="000E74D5">
        <w:rPr>
          <w:b/>
          <w:sz w:val="26"/>
          <w:lang w:val="sv-SE" w:bidi="en-US"/>
        </w:rPr>
        <w:t>Medicines</w:t>
      </w:r>
      <w:proofErr w:type="spellEnd"/>
      <w:r w:rsidRPr="000E74D5">
        <w:rPr>
          <w:b/>
          <w:sz w:val="26"/>
          <w:lang w:val="sv-SE" w:bidi="en-US"/>
        </w:rPr>
        <w:t xml:space="preserve"> </w:t>
      </w:r>
    </w:p>
    <w:p w14:paraId="1A147695" w14:textId="77777777" w:rsidR="00881AFF" w:rsidRPr="000E74D5" w:rsidRDefault="007D01A2" w:rsidP="00881AFF">
      <w:pPr>
        <w:widowControl w:val="0"/>
        <w:autoSpaceDE w:val="0"/>
        <w:autoSpaceDN w:val="0"/>
        <w:adjustRightInd w:val="0"/>
        <w:spacing w:after="0" w:line="298" w:lineRule="exact"/>
        <w:ind w:left="1293" w:right="1873"/>
        <w:jc w:val="center"/>
        <w:rPr>
          <w:rFonts w:asciiTheme="minorHAnsi" w:hAnsiTheme="minorHAnsi" w:cstheme="minorHAnsi"/>
          <w:sz w:val="26"/>
          <w:szCs w:val="26"/>
          <w:lang w:val="sv-SE"/>
        </w:rPr>
      </w:pPr>
      <w:r>
        <w:rPr>
          <w:noProof/>
          <w:lang w:bidi="en-US"/>
        </w:rPr>
        <mc:AlternateContent>
          <mc:Choice Requires="wps">
            <w:drawing>
              <wp:anchor distT="0" distB="0" distL="114300" distR="114300" simplePos="0" relativeHeight="251657728" behindDoc="1" locked="0" layoutInCell="0" allowOverlap="1" wp14:anchorId="1E71757F" wp14:editId="01B54742">
                <wp:simplePos x="0" y="0"/>
                <wp:positionH relativeFrom="page">
                  <wp:posOffset>5009515</wp:posOffset>
                </wp:positionH>
                <wp:positionV relativeFrom="paragraph">
                  <wp:posOffset>-924560</wp:posOffset>
                </wp:positionV>
                <wp:extent cx="787400" cy="736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5258" w14:textId="77777777" w:rsidR="002469FC" w:rsidRDefault="002469FC" w:rsidP="00881AFF">
                            <w:pPr>
                              <w:spacing w:after="0" w:line="1160" w:lineRule="atLeast"/>
                              <w:rPr>
                                <w:rFonts w:ascii="Times New Roman" w:hAnsi="Times New Roman"/>
                                <w:sz w:val="24"/>
                                <w:szCs w:val="24"/>
                              </w:rPr>
                            </w:pPr>
                            <w:r>
                              <w:rPr>
                                <w:noProof/>
                                <w:sz w:val="24"/>
                                <w:lang w:bidi="en-US"/>
                              </w:rPr>
                              <w:drawing>
                                <wp:inline distT="0" distB="0" distL="0" distR="0" wp14:anchorId="018B5760" wp14:editId="59A3B1A6">
                                  <wp:extent cx="781050" cy="733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81050" cy="733425"/>
                                          </a:xfrm>
                                          <a:prstGeom prst="rect">
                                            <a:avLst/>
                                          </a:prstGeom>
                                          <a:noFill/>
                                          <a:ln w="9525">
                                            <a:noFill/>
                                            <a:miter lim="800000"/>
                                            <a:headEnd/>
                                            <a:tailEnd/>
                                          </a:ln>
                                        </pic:spPr>
                                      </pic:pic>
                                    </a:graphicData>
                                  </a:graphic>
                                </wp:inline>
                              </w:drawing>
                            </w:r>
                          </w:p>
                          <w:p w14:paraId="7012C99E" w14:textId="77777777" w:rsidR="002469FC" w:rsidRDefault="002469FC" w:rsidP="00881AF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1757F" id="Rectangle 2" o:spid="_x0000_s1026" style="position:absolute;left:0;text-align:left;margin-left:394.45pt;margin-top:-72.8pt;width:62pt;height: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AkxvgEAAG8DAAAOAAAAZHJzL2Uyb0RvYy54bWysU9tu2zAMfR+wfxD0vtjphqQw4hTDig4D&#13;&#10;ugvQ7gMUWYqF2aJGKrGzrx8lx+nWvg17EY5I6ojniNrcjH0njgbJga/lclFKYbyGxvl9Lb8/3r25&#13;&#10;loKi8o3qwJtangzJm+3rV5shVOYKWugag4JJPFVDqGUbY6iKgnRrekULCMZz0gL2KvIW90WDamD2&#13;&#10;viuuynJVDIBNQNCGiKO3U1JuM7+1Rsev1pKJoqsl9xbzinndpbXYblS1RxVap89tqH/oolfO86UX&#13;&#10;qlsVlTige0HVO41AYONCQ1+AtU6brIHVLMtnah5aFUzWwuZQuNhE/49Wfzk+hG+YWqdwD/oHsSPF&#13;&#10;EKi6ZNKGuEbshs/Q8BuqQ4QsdrTYp5MsQ4zZ09PFUzNGoTm4vl6/K9l5zan129WKcbpBVfPhgBQ/&#13;&#10;GuhFArVEfrJMro73FKfSuSTd5eHOdV1+ts7/FWDOFMnNp37TDFAVx93I1QnuoDmxDIRpCnhqGbSA&#13;&#10;v6QYeAJqST8PCo0U3SfPFqdxmQHOYDcD5TUfrWWUYoIf4jRWh4Bu3zLzMsvw8J7tsi5Leeri3Ce/&#13;&#10;ajbjPIFpbP7c56qnf7L9DQAA//8DAFBLAwQUAAYACAAAACEATYF80eUAAAARAQAADwAAAGRycy9k&#13;&#10;b3ducmV2LnhtbExPPU/DMBDdK/EfrENiqVrHoYQkjVNRUCemhoIY3fhIArEdxW4b/j3HBMtJ9+7d&#13;&#10;+yg2k+nZGUffOStBLCNgaGunO9tIOLzsFikwH5TVqncWJXyjh015NStUrt3F7vFchYaRiPW5ktCG&#13;&#10;MOSc+7pFo/zSDWjp9uFGowKtY8P1qC4kbnoeR1HCjeosObRqwMcW66/qZCTMD9Xz7fYdxZt+FZ86&#13;&#10;Wu13rtlKeXM9Pa1pPKyBBZzC3wf8dqD8UFKwoztZ7Vkv4T5NM6JKWIjVXQKMKJmICToSFGcJ8LLg&#13;&#10;/5uUPwAAAP//AwBQSwECLQAUAAYACAAAACEAtoM4kv4AAADhAQAAEwAAAAAAAAAAAAAAAAAAAAAA&#13;&#10;W0NvbnRlbnRfVHlwZXNdLnhtbFBLAQItABQABgAIAAAAIQA4/SH/1gAAAJQBAAALAAAAAAAAAAAA&#13;&#10;AAAAAC8BAABfcmVscy8ucmVsc1BLAQItABQABgAIAAAAIQA8dAkxvgEAAG8DAAAOAAAAAAAAAAAA&#13;&#10;AAAAAC4CAABkcnMvZTJvRG9jLnhtbFBLAQItABQABgAIAAAAIQBNgXzR5QAAABEBAAAPAAAAAAAA&#13;&#10;AAAAAAAAABgEAABkcnMvZG93bnJldi54bWxQSwUGAAAAAAQABADzAAAAKgUAAAAA&#13;&#10;" o:allowincell="f" filled="f" stroked="f">
                <v:path arrowok="t"/>
                <v:textbox inset="0,0,0,0">
                  <w:txbxContent>
                    <w:p w14:paraId="227B5258" w14:textId="77777777" w:rsidR="002469FC" w:rsidRDefault="002469FC" w:rsidP="00881AFF">
                      <w:pPr>
                        <w:spacing w:after="0" w:line="1160" w:lineRule="atLeast"/>
                        <w:rPr>
                          <w:rFonts w:ascii="Times New Roman" w:hAnsi="Times New Roman"/>
                          <w:sz w:val="24"/>
                          <w:szCs w:val="24"/>
                        </w:rPr>
                      </w:pPr>
                      <w:r>
                        <w:rPr>
                          <w:noProof/>
                          <w:sz w:val="24"/>
                          <w:lang w:bidi="en-US"/>
                        </w:rPr>
                        <w:drawing>
                          <wp:inline distT="0" distB="0" distL="0" distR="0" wp14:anchorId="018B5760" wp14:editId="59A3B1A6">
                            <wp:extent cx="781050" cy="733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81050" cy="733425"/>
                                    </a:xfrm>
                                    <a:prstGeom prst="rect">
                                      <a:avLst/>
                                    </a:prstGeom>
                                    <a:noFill/>
                                    <a:ln w="9525">
                                      <a:noFill/>
                                      <a:miter lim="800000"/>
                                      <a:headEnd/>
                                      <a:tailEnd/>
                                    </a:ln>
                                  </pic:spPr>
                                </pic:pic>
                              </a:graphicData>
                            </a:graphic>
                          </wp:inline>
                        </w:drawing>
                      </w:r>
                    </w:p>
                    <w:p w14:paraId="7012C99E" w14:textId="77777777" w:rsidR="002469FC" w:rsidRDefault="002469FC" w:rsidP="00881AF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881AFF" w:rsidRPr="000E74D5">
        <w:rPr>
          <w:b/>
          <w:w w:val="99"/>
          <w:sz w:val="26"/>
          <w:lang w:val="sv-SE" w:bidi="en-US"/>
        </w:rPr>
        <w:t>Association</w:t>
      </w:r>
    </w:p>
    <w:p w14:paraId="1E160022" w14:textId="77777777" w:rsidR="00881AFF" w:rsidRPr="000E74D5" w:rsidRDefault="00881AFF" w:rsidP="00881AFF">
      <w:pPr>
        <w:widowControl w:val="0"/>
        <w:autoSpaceDE w:val="0"/>
        <w:autoSpaceDN w:val="0"/>
        <w:adjustRightInd w:val="0"/>
        <w:spacing w:before="7" w:after="0" w:line="170" w:lineRule="exact"/>
        <w:rPr>
          <w:rFonts w:asciiTheme="minorHAnsi" w:hAnsiTheme="minorHAnsi" w:cstheme="minorHAnsi"/>
          <w:sz w:val="17"/>
          <w:szCs w:val="17"/>
          <w:lang w:val="sv-SE"/>
        </w:rPr>
      </w:pPr>
    </w:p>
    <w:p w14:paraId="4D0FCF33" w14:textId="77777777" w:rsidR="000232AC" w:rsidRPr="000E74D5" w:rsidRDefault="0023320F" w:rsidP="0023320F">
      <w:pPr>
        <w:widowControl w:val="0"/>
        <w:autoSpaceDE w:val="0"/>
        <w:autoSpaceDN w:val="0"/>
        <w:adjustRightInd w:val="0"/>
        <w:spacing w:after="0" w:line="240" w:lineRule="auto"/>
        <w:ind w:left="-35" w:right="541"/>
        <w:jc w:val="center"/>
        <w:rPr>
          <w:rFonts w:asciiTheme="minorHAnsi" w:hAnsiTheme="minorHAnsi" w:cstheme="minorHAnsi"/>
          <w:sz w:val="20"/>
          <w:szCs w:val="20"/>
          <w:lang w:val="sv-SE"/>
        </w:rPr>
      </w:pPr>
      <w:proofErr w:type="spellStart"/>
      <w:r w:rsidRPr="000E74D5">
        <w:rPr>
          <w:sz w:val="20"/>
          <w:lang w:val="sv-SE" w:bidi="en-US"/>
        </w:rPr>
        <w:t>Hanzas</w:t>
      </w:r>
      <w:proofErr w:type="spellEnd"/>
      <w:r w:rsidRPr="000E74D5">
        <w:rPr>
          <w:sz w:val="20"/>
          <w:lang w:val="sv-SE" w:bidi="en-US"/>
        </w:rPr>
        <w:t xml:space="preserve"> </w:t>
      </w:r>
      <w:proofErr w:type="spellStart"/>
      <w:r w:rsidR="00D30824">
        <w:rPr>
          <w:sz w:val="20"/>
          <w:lang w:val="sv-SE" w:bidi="en-US"/>
        </w:rPr>
        <w:t>street</w:t>
      </w:r>
      <w:proofErr w:type="spellEnd"/>
      <w:r w:rsidRPr="000E74D5">
        <w:rPr>
          <w:sz w:val="20"/>
          <w:lang w:val="sv-SE" w:bidi="en-US"/>
        </w:rPr>
        <w:t> </w:t>
      </w:r>
      <w:proofErr w:type="gramStart"/>
      <w:r w:rsidRPr="000E74D5">
        <w:rPr>
          <w:sz w:val="20"/>
          <w:lang w:val="sv-SE" w:bidi="en-US"/>
        </w:rPr>
        <w:t>4-55</w:t>
      </w:r>
      <w:proofErr w:type="gramEnd"/>
      <w:r w:rsidRPr="000E74D5">
        <w:rPr>
          <w:sz w:val="20"/>
          <w:lang w:val="sv-SE" w:bidi="en-US"/>
        </w:rPr>
        <w:t>, R</w:t>
      </w:r>
      <w:r w:rsidR="00D30824">
        <w:rPr>
          <w:sz w:val="20"/>
          <w:lang w:val="sv-SE" w:bidi="en-US"/>
        </w:rPr>
        <w:t>i</w:t>
      </w:r>
      <w:r w:rsidRPr="000E74D5">
        <w:rPr>
          <w:sz w:val="20"/>
          <w:lang w:val="sv-SE" w:bidi="en-US"/>
        </w:rPr>
        <w:t>ga, LV–1010</w:t>
      </w:r>
    </w:p>
    <w:p w14:paraId="728CAFDD" w14:textId="77777777" w:rsidR="000232AC" w:rsidRPr="000E74D5" w:rsidRDefault="00D30824" w:rsidP="000232AC">
      <w:pPr>
        <w:widowControl w:val="0"/>
        <w:autoSpaceDE w:val="0"/>
        <w:autoSpaceDN w:val="0"/>
        <w:adjustRightInd w:val="0"/>
        <w:spacing w:after="0" w:line="240" w:lineRule="auto"/>
        <w:ind w:right="1404"/>
        <w:jc w:val="center"/>
        <w:rPr>
          <w:rFonts w:asciiTheme="minorHAnsi" w:hAnsiTheme="minorHAnsi" w:cstheme="minorHAnsi"/>
          <w:sz w:val="20"/>
          <w:szCs w:val="20"/>
          <w:lang w:val="sv-SE"/>
        </w:rPr>
      </w:pPr>
      <w:r>
        <w:rPr>
          <w:sz w:val="20"/>
          <w:lang w:val="sv-SE" w:bidi="en-US"/>
        </w:rPr>
        <w:t xml:space="preserve">                T</w:t>
      </w:r>
      <w:r w:rsidR="000232AC" w:rsidRPr="000E74D5">
        <w:rPr>
          <w:sz w:val="20"/>
          <w:lang w:val="sv-SE" w:bidi="en-US"/>
        </w:rPr>
        <w:t>elephone: +371 </w:t>
      </w:r>
      <w:proofErr w:type="gramStart"/>
      <w:r w:rsidR="000232AC" w:rsidRPr="000E74D5">
        <w:rPr>
          <w:sz w:val="20"/>
          <w:lang w:val="sv-SE" w:bidi="en-US"/>
        </w:rPr>
        <w:t>27829001</w:t>
      </w:r>
      <w:proofErr w:type="gramEnd"/>
    </w:p>
    <w:p w14:paraId="1A43B769" w14:textId="77777777" w:rsidR="006D3883" w:rsidRPr="000E74D5" w:rsidRDefault="000232AC" w:rsidP="000232AC">
      <w:pPr>
        <w:widowControl w:val="0"/>
        <w:autoSpaceDE w:val="0"/>
        <w:autoSpaceDN w:val="0"/>
        <w:adjustRightInd w:val="0"/>
        <w:spacing w:after="0" w:line="240" w:lineRule="auto"/>
        <w:ind w:left="948" w:right="1527"/>
        <w:jc w:val="center"/>
        <w:rPr>
          <w:rStyle w:val="Hyperlink"/>
          <w:rFonts w:asciiTheme="minorHAnsi" w:hAnsiTheme="minorHAnsi" w:cstheme="minorHAnsi"/>
          <w:sz w:val="20"/>
          <w:szCs w:val="20"/>
          <w:lang w:val="sv-SE"/>
        </w:rPr>
      </w:pPr>
      <w:r w:rsidRPr="000E74D5">
        <w:rPr>
          <w:sz w:val="20"/>
          <w:lang w:val="sv-SE" w:bidi="en-US"/>
        </w:rPr>
        <w:t xml:space="preserve">e-mail: </w:t>
      </w:r>
      <w:hyperlink r:id="rId9" w:history="1">
        <w:r w:rsidRPr="000E74D5">
          <w:rPr>
            <w:rStyle w:val="Hyperlink"/>
            <w:sz w:val="20"/>
            <w:lang w:val="sv-SE" w:bidi="en-US"/>
          </w:rPr>
          <w:t>lpma@lpma.lv</w:t>
        </w:r>
      </w:hyperlink>
    </w:p>
    <w:p w14:paraId="32DFF004" w14:textId="77777777" w:rsidR="000232AC" w:rsidRDefault="000232AC" w:rsidP="000232AC">
      <w:pPr>
        <w:widowControl w:val="0"/>
        <w:autoSpaceDE w:val="0"/>
        <w:autoSpaceDN w:val="0"/>
        <w:adjustRightInd w:val="0"/>
        <w:spacing w:after="0" w:line="240" w:lineRule="auto"/>
        <w:ind w:left="948" w:right="1527"/>
        <w:jc w:val="center"/>
        <w:rPr>
          <w:rFonts w:ascii="Times New Roman" w:hAnsi="Times New Roman"/>
          <w:sz w:val="20"/>
          <w:szCs w:val="20"/>
        </w:rPr>
      </w:pPr>
      <w:r w:rsidRPr="001A5DDE">
        <w:rPr>
          <w:sz w:val="20"/>
          <w:lang w:bidi="en-US"/>
        </w:rPr>
        <w:t xml:space="preserve">website: </w:t>
      </w:r>
      <w:hyperlink r:id="rId10" w:history="1">
        <w:r w:rsidRPr="001A5DDE">
          <w:rPr>
            <w:rStyle w:val="Hyperlink"/>
            <w:sz w:val="20"/>
            <w:lang w:bidi="en-US"/>
          </w:rPr>
          <w:t>www.lpma.lv</w:t>
        </w:r>
      </w:hyperlink>
    </w:p>
    <w:p w14:paraId="54079E1F" w14:textId="77777777" w:rsidR="000232AC" w:rsidRDefault="000232AC" w:rsidP="000232AC">
      <w:pPr>
        <w:spacing w:after="0" w:line="240" w:lineRule="auto"/>
        <w:rPr>
          <w:rFonts w:ascii="Times New Roman" w:hAnsi="Times New Roman"/>
          <w:sz w:val="20"/>
          <w:szCs w:val="20"/>
        </w:rPr>
        <w:sectPr w:rsidR="000232AC" w:rsidSect="000232AC">
          <w:type w:val="continuous"/>
          <w:pgSz w:w="11920" w:h="16840"/>
          <w:pgMar w:top="440" w:right="920" w:bottom="280" w:left="1220" w:header="720" w:footer="720" w:gutter="0"/>
          <w:cols w:num="2" w:space="720" w:equalWidth="0">
            <w:col w:w="4290" w:space="1094"/>
            <w:col w:w="4396"/>
          </w:cols>
        </w:sectPr>
      </w:pPr>
    </w:p>
    <w:p w14:paraId="4349EED7" w14:textId="77777777" w:rsidR="000232AC" w:rsidRDefault="000232AC" w:rsidP="000232AC">
      <w:pPr>
        <w:widowControl w:val="0"/>
        <w:autoSpaceDE w:val="0"/>
        <w:autoSpaceDN w:val="0"/>
        <w:adjustRightInd w:val="0"/>
        <w:spacing w:after="0" w:line="240" w:lineRule="auto"/>
        <w:rPr>
          <w:rFonts w:ascii="Times New Roman" w:hAnsi="Times New Roman"/>
          <w:sz w:val="20"/>
          <w:szCs w:val="20"/>
        </w:rPr>
      </w:pPr>
    </w:p>
    <w:p w14:paraId="065C974F" w14:textId="77777777" w:rsidR="00881AFF" w:rsidRPr="00BC7BEE" w:rsidRDefault="00881AFF" w:rsidP="00881AFF">
      <w:pPr>
        <w:widowControl w:val="0"/>
        <w:autoSpaceDE w:val="0"/>
        <w:autoSpaceDN w:val="0"/>
        <w:adjustRightInd w:val="0"/>
        <w:spacing w:after="0" w:line="200" w:lineRule="exact"/>
        <w:rPr>
          <w:rFonts w:ascii="Times New Roman" w:hAnsi="Times New Roman"/>
          <w:sz w:val="20"/>
          <w:szCs w:val="20"/>
        </w:rPr>
      </w:pPr>
    </w:p>
    <w:p w14:paraId="29256613" w14:textId="77777777" w:rsidR="00881AFF" w:rsidRPr="00BC7BEE" w:rsidRDefault="00881AFF" w:rsidP="00881AFF">
      <w:pPr>
        <w:widowControl w:val="0"/>
        <w:autoSpaceDE w:val="0"/>
        <w:autoSpaceDN w:val="0"/>
        <w:adjustRightInd w:val="0"/>
        <w:spacing w:after="0" w:line="200" w:lineRule="exact"/>
        <w:rPr>
          <w:rFonts w:ascii="Times New Roman" w:hAnsi="Times New Roman"/>
          <w:sz w:val="20"/>
          <w:szCs w:val="20"/>
        </w:rPr>
      </w:pPr>
    </w:p>
    <w:p w14:paraId="1AC9BF78"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48C32CE5"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029E1FEB"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073B1BDE"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01A8CE8C"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4408927D"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17E8947E"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50955DF8" w14:textId="77777777" w:rsidR="00881AFF" w:rsidRPr="00F94C5E" w:rsidRDefault="00881AFF" w:rsidP="00881AFF">
      <w:pPr>
        <w:widowControl w:val="0"/>
        <w:autoSpaceDE w:val="0"/>
        <w:autoSpaceDN w:val="0"/>
        <w:adjustRightInd w:val="0"/>
        <w:spacing w:after="0" w:line="200" w:lineRule="exact"/>
        <w:rPr>
          <w:rFonts w:ascii="Times New Roman" w:hAnsi="Times New Roman"/>
          <w:b/>
          <w:color w:val="000000" w:themeColor="text1"/>
          <w:sz w:val="20"/>
          <w:szCs w:val="20"/>
        </w:rPr>
      </w:pPr>
    </w:p>
    <w:p w14:paraId="0D42D5C7"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580FEF3C" w14:textId="77777777"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14:paraId="7659B69F" w14:textId="77777777" w:rsidR="00881AFF" w:rsidRPr="007B7C7E" w:rsidRDefault="00881AFF" w:rsidP="005515C7">
      <w:pPr>
        <w:widowControl w:val="0"/>
        <w:autoSpaceDE w:val="0"/>
        <w:autoSpaceDN w:val="0"/>
        <w:adjustRightInd w:val="0"/>
        <w:spacing w:after="0" w:line="200" w:lineRule="exact"/>
        <w:jc w:val="center"/>
        <w:rPr>
          <w:rFonts w:asciiTheme="minorHAnsi" w:hAnsiTheme="minorHAnsi" w:cstheme="minorHAnsi"/>
          <w:color w:val="000000" w:themeColor="text1"/>
          <w:sz w:val="20"/>
          <w:szCs w:val="20"/>
        </w:rPr>
      </w:pPr>
    </w:p>
    <w:p w14:paraId="6ABFEC31" w14:textId="77777777"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5FD50C82" w14:textId="77777777"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0B4DC8F9" w14:textId="77777777" w:rsidR="00881AFF" w:rsidRPr="007B7C7E" w:rsidRDefault="00881AFF" w:rsidP="00881AFF">
      <w:pPr>
        <w:widowControl w:val="0"/>
        <w:autoSpaceDE w:val="0"/>
        <w:autoSpaceDN w:val="0"/>
        <w:adjustRightInd w:val="0"/>
        <w:spacing w:after="0" w:line="240" w:lineRule="auto"/>
        <w:ind w:left="3963" w:right="4119"/>
        <w:jc w:val="center"/>
        <w:rPr>
          <w:rFonts w:asciiTheme="minorHAnsi" w:hAnsiTheme="minorHAnsi" w:cstheme="minorHAnsi"/>
          <w:b/>
          <w:bCs/>
          <w:color w:val="000000" w:themeColor="text1"/>
          <w:sz w:val="24"/>
          <w:szCs w:val="24"/>
        </w:rPr>
      </w:pPr>
    </w:p>
    <w:p w14:paraId="4223A198" w14:textId="77777777" w:rsidR="006D3883" w:rsidRPr="007B7C7E" w:rsidRDefault="006D3883" w:rsidP="006D3883">
      <w:pPr>
        <w:widowControl w:val="0"/>
        <w:autoSpaceDE w:val="0"/>
        <w:autoSpaceDN w:val="0"/>
        <w:adjustRightInd w:val="0"/>
        <w:spacing w:after="0" w:line="200" w:lineRule="exact"/>
        <w:jc w:val="center"/>
        <w:rPr>
          <w:rFonts w:asciiTheme="minorHAnsi" w:hAnsiTheme="minorHAnsi" w:cstheme="minorHAnsi"/>
          <w:color w:val="000000" w:themeColor="text1"/>
          <w:sz w:val="20"/>
          <w:szCs w:val="20"/>
        </w:rPr>
      </w:pPr>
    </w:p>
    <w:p w14:paraId="6BFB1357" w14:textId="77777777" w:rsidR="006D3883" w:rsidRDefault="006D3883" w:rsidP="006D3883">
      <w:pPr>
        <w:widowControl w:val="0"/>
        <w:autoSpaceDE w:val="0"/>
        <w:autoSpaceDN w:val="0"/>
        <w:adjustRightInd w:val="0"/>
        <w:spacing w:before="28" w:after="0" w:line="322" w:lineRule="exact"/>
        <w:ind w:left="2827" w:right="1326" w:hanging="667"/>
        <w:jc w:val="center"/>
        <w:rPr>
          <w:rFonts w:asciiTheme="minorHAnsi" w:hAnsiTheme="minorHAnsi" w:cstheme="minorHAnsi"/>
          <w:b/>
          <w:bCs/>
          <w:color w:val="000000" w:themeColor="text1"/>
          <w:sz w:val="28"/>
          <w:szCs w:val="28"/>
        </w:rPr>
      </w:pPr>
      <w:r w:rsidRPr="007B7C7E">
        <w:rPr>
          <w:b/>
          <w:sz w:val="28"/>
          <w:lang w:bidi="en-US"/>
        </w:rPr>
        <w:t xml:space="preserve">CODE OF GOOD PRACTICE AND ETHICS </w:t>
      </w:r>
    </w:p>
    <w:p w14:paraId="1A21E99E" w14:textId="77777777" w:rsidR="006D3883" w:rsidRDefault="006D3883" w:rsidP="006D3883">
      <w:pPr>
        <w:widowControl w:val="0"/>
        <w:autoSpaceDE w:val="0"/>
        <w:autoSpaceDN w:val="0"/>
        <w:adjustRightInd w:val="0"/>
        <w:spacing w:before="28" w:after="0" w:line="322" w:lineRule="exact"/>
        <w:ind w:left="2827" w:right="1326" w:hanging="667"/>
        <w:jc w:val="center"/>
        <w:rPr>
          <w:rFonts w:asciiTheme="minorHAnsi" w:hAnsiTheme="minorHAnsi" w:cstheme="minorHAnsi"/>
          <w:b/>
          <w:bCs/>
          <w:color w:val="000000" w:themeColor="text1"/>
          <w:sz w:val="28"/>
          <w:szCs w:val="28"/>
        </w:rPr>
      </w:pPr>
    </w:p>
    <w:p w14:paraId="220C135D" w14:textId="77777777" w:rsidR="006D3883" w:rsidRPr="007B7C7E" w:rsidRDefault="006D3883" w:rsidP="006D3883">
      <w:pPr>
        <w:widowControl w:val="0"/>
        <w:autoSpaceDE w:val="0"/>
        <w:autoSpaceDN w:val="0"/>
        <w:adjustRightInd w:val="0"/>
        <w:spacing w:before="28" w:after="0" w:line="322" w:lineRule="exact"/>
        <w:ind w:left="2827" w:right="1326" w:hanging="667"/>
        <w:jc w:val="center"/>
        <w:rPr>
          <w:rFonts w:asciiTheme="minorHAnsi" w:hAnsiTheme="minorHAnsi" w:cstheme="minorHAnsi"/>
          <w:color w:val="000000" w:themeColor="text1"/>
          <w:sz w:val="28"/>
          <w:szCs w:val="28"/>
        </w:rPr>
      </w:pPr>
      <w:r w:rsidRPr="007B7C7E">
        <w:rPr>
          <w:b/>
          <w:spacing w:val="-1"/>
          <w:sz w:val="28"/>
          <w:lang w:bidi="en-US"/>
        </w:rPr>
        <w:t>RULES OF APPLICATION</w:t>
      </w:r>
    </w:p>
    <w:p w14:paraId="444F9CC5" w14:textId="77777777" w:rsidR="006D3883" w:rsidRPr="007B7C7E" w:rsidRDefault="006D3883" w:rsidP="006D3883">
      <w:pPr>
        <w:widowControl w:val="0"/>
        <w:autoSpaceDE w:val="0"/>
        <w:autoSpaceDN w:val="0"/>
        <w:adjustRightInd w:val="0"/>
        <w:spacing w:after="0" w:line="200" w:lineRule="exact"/>
        <w:jc w:val="center"/>
        <w:rPr>
          <w:rFonts w:asciiTheme="minorHAnsi" w:hAnsiTheme="minorHAnsi" w:cstheme="minorHAnsi"/>
          <w:color w:val="000000" w:themeColor="text1"/>
          <w:sz w:val="20"/>
          <w:szCs w:val="20"/>
        </w:rPr>
      </w:pPr>
    </w:p>
    <w:p w14:paraId="3D3DFE12" w14:textId="77777777" w:rsidR="006D3883" w:rsidRPr="007B7C7E" w:rsidRDefault="006D3883" w:rsidP="006D3883">
      <w:pPr>
        <w:widowControl w:val="0"/>
        <w:autoSpaceDE w:val="0"/>
        <w:autoSpaceDN w:val="0"/>
        <w:adjustRightInd w:val="0"/>
        <w:spacing w:after="0" w:line="200" w:lineRule="exact"/>
        <w:jc w:val="center"/>
        <w:rPr>
          <w:rFonts w:asciiTheme="minorHAnsi" w:hAnsiTheme="minorHAnsi" w:cstheme="minorHAnsi"/>
          <w:color w:val="000000" w:themeColor="text1"/>
          <w:sz w:val="20"/>
          <w:szCs w:val="20"/>
        </w:rPr>
      </w:pPr>
    </w:p>
    <w:p w14:paraId="0E48BD7A"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1799A8FF" w14:textId="77777777" w:rsidR="006D3883" w:rsidRPr="007B7C7E" w:rsidRDefault="006D3883" w:rsidP="006D3883">
      <w:pPr>
        <w:widowControl w:val="0"/>
        <w:autoSpaceDE w:val="0"/>
        <w:autoSpaceDN w:val="0"/>
        <w:adjustRightInd w:val="0"/>
        <w:spacing w:before="18" w:after="0" w:line="200" w:lineRule="exact"/>
        <w:rPr>
          <w:rFonts w:asciiTheme="minorHAnsi" w:hAnsiTheme="minorHAnsi" w:cstheme="minorHAnsi"/>
          <w:color w:val="000000" w:themeColor="text1"/>
          <w:sz w:val="20"/>
          <w:szCs w:val="20"/>
        </w:rPr>
      </w:pPr>
    </w:p>
    <w:p w14:paraId="7CF4F089" w14:textId="77777777" w:rsidR="006D3883" w:rsidRPr="007B7C7E" w:rsidRDefault="006D3883" w:rsidP="000E74D5">
      <w:pPr>
        <w:widowControl w:val="0"/>
        <w:autoSpaceDE w:val="0"/>
        <w:autoSpaceDN w:val="0"/>
        <w:adjustRightInd w:val="0"/>
        <w:spacing w:after="0" w:line="240" w:lineRule="auto"/>
        <w:ind w:left="3544" w:right="4280" w:hanging="567"/>
        <w:rPr>
          <w:rFonts w:asciiTheme="minorHAnsi" w:hAnsiTheme="minorHAnsi" w:cstheme="minorHAnsi"/>
          <w:color w:val="000000" w:themeColor="text1"/>
          <w:sz w:val="24"/>
          <w:szCs w:val="24"/>
        </w:rPr>
      </w:pPr>
      <w:r w:rsidRPr="007B7C7E">
        <w:rPr>
          <w:i/>
          <w:sz w:val="24"/>
          <w:lang w:bidi="en-US"/>
        </w:rPr>
        <w:t>Approved by</w:t>
      </w:r>
    </w:p>
    <w:p w14:paraId="5BBCB6EC" w14:textId="77777777" w:rsidR="006D3883" w:rsidRPr="007B7C7E" w:rsidRDefault="006D3883" w:rsidP="000E74D5">
      <w:pPr>
        <w:widowControl w:val="0"/>
        <w:autoSpaceDE w:val="0"/>
        <w:autoSpaceDN w:val="0"/>
        <w:adjustRightInd w:val="0"/>
        <w:spacing w:after="0" w:line="240" w:lineRule="auto"/>
        <w:ind w:left="3544" w:hanging="567"/>
        <w:rPr>
          <w:rFonts w:asciiTheme="minorHAnsi" w:hAnsiTheme="minorHAnsi" w:cstheme="minorHAnsi"/>
          <w:color w:val="000000" w:themeColor="text1"/>
          <w:sz w:val="24"/>
          <w:szCs w:val="24"/>
        </w:rPr>
      </w:pPr>
      <w:r w:rsidRPr="007B7C7E">
        <w:rPr>
          <w:i/>
          <w:sz w:val="24"/>
          <w:lang w:bidi="en-US"/>
        </w:rPr>
        <w:t>Association of International Innovative Pharmaceuticals Producers</w:t>
      </w:r>
    </w:p>
    <w:p w14:paraId="71C25F03" w14:textId="77777777" w:rsidR="006D3883" w:rsidRPr="007B7C7E" w:rsidRDefault="006D3883" w:rsidP="000E74D5">
      <w:pPr>
        <w:widowControl w:val="0"/>
        <w:autoSpaceDE w:val="0"/>
        <w:autoSpaceDN w:val="0"/>
        <w:adjustRightInd w:val="0"/>
        <w:spacing w:after="0" w:line="240" w:lineRule="auto"/>
        <w:ind w:left="3544" w:hanging="567"/>
        <w:rPr>
          <w:rFonts w:asciiTheme="minorHAnsi" w:hAnsiTheme="minorHAnsi" w:cstheme="minorHAnsi"/>
          <w:color w:val="000000" w:themeColor="text1"/>
          <w:sz w:val="24"/>
          <w:szCs w:val="24"/>
        </w:rPr>
      </w:pPr>
      <w:r w:rsidRPr="007B7C7E">
        <w:rPr>
          <w:i/>
          <w:sz w:val="24"/>
          <w:lang w:bidi="en-US"/>
        </w:rPr>
        <w:t>Decision of the 16</w:t>
      </w:r>
      <w:r w:rsidR="000E74D5">
        <w:rPr>
          <w:i/>
          <w:sz w:val="24"/>
          <w:lang w:bidi="en-US"/>
        </w:rPr>
        <w:t> </w:t>
      </w:r>
      <w:r w:rsidRPr="007B7C7E">
        <w:rPr>
          <w:i/>
          <w:sz w:val="24"/>
          <w:lang w:bidi="en-US"/>
        </w:rPr>
        <w:t>September</w:t>
      </w:r>
      <w:r w:rsidR="000E74D5">
        <w:rPr>
          <w:i/>
          <w:sz w:val="24"/>
          <w:lang w:bidi="en-US"/>
        </w:rPr>
        <w:t> </w:t>
      </w:r>
      <w:r w:rsidRPr="007B7C7E">
        <w:rPr>
          <w:i/>
          <w:sz w:val="24"/>
          <w:lang w:bidi="en-US"/>
        </w:rPr>
        <w:t>2020 members' meeting</w:t>
      </w:r>
    </w:p>
    <w:p w14:paraId="48C3E9C7" w14:textId="77777777" w:rsidR="006D3883" w:rsidRPr="007B7C7E" w:rsidRDefault="006D3883" w:rsidP="000E74D5">
      <w:pPr>
        <w:widowControl w:val="0"/>
        <w:autoSpaceDE w:val="0"/>
        <w:autoSpaceDN w:val="0"/>
        <w:adjustRightInd w:val="0"/>
        <w:spacing w:after="0" w:line="240" w:lineRule="auto"/>
        <w:ind w:left="3544" w:right="5463" w:hanging="567"/>
        <w:rPr>
          <w:rFonts w:asciiTheme="minorHAnsi" w:hAnsiTheme="minorHAnsi" w:cstheme="minorHAnsi"/>
          <w:color w:val="000000" w:themeColor="text1"/>
          <w:sz w:val="24"/>
          <w:szCs w:val="24"/>
        </w:rPr>
      </w:pPr>
      <w:r w:rsidRPr="007B7C7E">
        <w:rPr>
          <w:i/>
          <w:sz w:val="24"/>
          <w:lang w:bidi="en-US"/>
        </w:rPr>
        <w:t>and</w:t>
      </w:r>
    </w:p>
    <w:p w14:paraId="1EEC6285" w14:textId="77777777" w:rsidR="006D3883" w:rsidRPr="007B7C7E" w:rsidRDefault="006D3883" w:rsidP="000E74D5">
      <w:pPr>
        <w:widowControl w:val="0"/>
        <w:autoSpaceDE w:val="0"/>
        <w:autoSpaceDN w:val="0"/>
        <w:adjustRightInd w:val="0"/>
        <w:spacing w:after="0" w:line="240" w:lineRule="auto"/>
        <w:ind w:left="3544" w:hanging="567"/>
        <w:rPr>
          <w:rFonts w:asciiTheme="minorHAnsi" w:hAnsiTheme="minorHAnsi" w:cstheme="minorHAnsi"/>
          <w:i/>
          <w:iCs/>
          <w:color w:val="000000" w:themeColor="text1"/>
          <w:sz w:val="24"/>
          <w:szCs w:val="24"/>
        </w:rPr>
      </w:pPr>
      <w:r w:rsidRPr="007B7C7E">
        <w:rPr>
          <w:i/>
          <w:spacing w:val="1"/>
          <w:sz w:val="24"/>
          <w:lang w:bidi="en-US"/>
        </w:rPr>
        <w:t xml:space="preserve">Latvian Generic Medicines Association </w:t>
      </w:r>
    </w:p>
    <w:p w14:paraId="6D8C3904" w14:textId="77777777" w:rsidR="006D3883" w:rsidRPr="007B7C7E" w:rsidRDefault="006D3883" w:rsidP="000E74D5">
      <w:pPr>
        <w:widowControl w:val="0"/>
        <w:autoSpaceDE w:val="0"/>
        <w:autoSpaceDN w:val="0"/>
        <w:adjustRightInd w:val="0"/>
        <w:spacing w:after="0" w:line="240" w:lineRule="auto"/>
        <w:ind w:left="3544" w:hanging="567"/>
        <w:rPr>
          <w:rFonts w:asciiTheme="minorHAnsi" w:hAnsiTheme="minorHAnsi" w:cstheme="minorHAnsi"/>
          <w:color w:val="000000" w:themeColor="text1"/>
          <w:sz w:val="24"/>
          <w:szCs w:val="24"/>
        </w:rPr>
      </w:pPr>
      <w:r w:rsidRPr="007B7C7E">
        <w:rPr>
          <w:i/>
          <w:sz w:val="24"/>
          <w:lang w:bidi="en-US"/>
        </w:rPr>
        <w:t>Decision of the 24</w:t>
      </w:r>
      <w:r w:rsidR="000E74D5">
        <w:rPr>
          <w:i/>
          <w:sz w:val="24"/>
          <w:lang w:bidi="en-US"/>
        </w:rPr>
        <w:t> </w:t>
      </w:r>
      <w:r w:rsidRPr="007B7C7E">
        <w:rPr>
          <w:i/>
          <w:sz w:val="24"/>
          <w:lang w:bidi="en-US"/>
        </w:rPr>
        <w:t>March</w:t>
      </w:r>
      <w:r w:rsidR="000E74D5">
        <w:rPr>
          <w:i/>
          <w:sz w:val="24"/>
          <w:lang w:bidi="en-US"/>
        </w:rPr>
        <w:t> </w:t>
      </w:r>
      <w:r w:rsidRPr="007B7C7E">
        <w:rPr>
          <w:i/>
          <w:sz w:val="24"/>
          <w:lang w:bidi="en-US"/>
        </w:rPr>
        <w:t>2020 members' meeting</w:t>
      </w:r>
    </w:p>
    <w:p w14:paraId="37745134" w14:textId="77777777" w:rsidR="006D3883" w:rsidRPr="007B7C7E" w:rsidRDefault="006D3883" w:rsidP="000E74D5">
      <w:pPr>
        <w:widowControl w:val="0"/>
        <w:autoSpaceDE w:val="0"/>
        <w:autoSpaceDN w:val="0"/>
        <w:adjustRightInd w:val="0"/>
        <w:spacing w:before="5" w:after="0" w:line="140" w:lineRule="exact"/>
        <w:ind w:left="3544" w:hanging="567"/>
        <w:rPr>
          <w:rFonts w:asciiTheme="minorHAnsi" w:hAnsiTheme="minorHAnsi" w:cstheme="minorHAnsi"/>
          <w:color w:val="000000" w:themeColor="text1"/>
          <w:sz w:val="14"/>
          <w:szCs w:val="14"/>
        </w:rPr>
      </w:pPr>
    </w:p>
    <w:p w14:paraId="045C1063"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5AED46EF"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5BC715AA"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7F970899"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6031E0B9"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7486FEE2"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79ED1098"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16A29806"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76AEDAF2"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2D125BAB"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34537C60"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01D72CC5"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36DD3664" w14:textId="77777777" w:rsidR="006D3883" w:rsidRPr="007B7C7E" w:rsidRDefault="006D3883" w:rsidP="006D3883">
      <w:pPr>
        <w:widowControl w:val="0"/>
        <w:autoSpaceDE w:val="0"/>
        <w:autoSpaceDN w:val="0"/>
        <w:adjustRightInd w:val="0"/>
        <w:spacing w:after="0" w:line="200" w:lineRule="exact"/>
        <w:rPr>
          <w:rFonts w:asciiTheme="minorHAnsi" w:hAnsiTheme="minorHAnsi" w:cstheme="minorHAnsi"/>
          <w:color w:val="000000" w:themeColor="text1"/>
          <w:sz w:val="20"/>
          <w:szCs w:val="20"/>
        </w:rPr>
      </w:pPr>
    </w:p>
    <w:p w14:paraId="5F7C7657" w14:textId="77777777" w:rsidR="00881AFF" w:rsidRPr="007B7C7E" w:rsidRDefault="00881AFF" w:rsidP="00881AFF">
      <w:pPr>
        <w:widowControl w:val="0"/>
        <w:autoSpaceDE w:val="0"/>
        <w:autoSpaceDN w:val="0"/>
        <w:adjustRightInd w:val="0"/>
        <w:spacing w:after="0" w:line="240" w:lineRule="auto"/>
        <w:ind w:left="3963" w:right="4119"/>
        <w:jc w:val="center"/>
        <w:rPr>
          <w:rFonts w:asciiTheme="minorHAnsi" w:hAnsiTheme="minorHAnsi" w:cstheme="minorHAnsi"/>
          <w:b/>
          <w:bCs/>
          <w:color w:val="000000" w:themeColor="text1"/>
          <w:sz w:val="24"/>
          <w:szCs w:val="24"/>
        </w:rPr>
      </w:pPr>
    </w:p>
    <w:p w14:paraId="44D4DA8C" w14:textId="77777777" w:rsidR="00881AFF" w:rsidRPr="007B7C7E" w:rsidRDefault="00881AFF" w:rsidP="00881AFF">
      <w:pPr>
        <w:widowControl w:val="0"/>
        <w:autoSpaceDE w:val="0"/>
        <w:autoSpaceDN w:val="0"/>
        <w:adjustRightInd w:val="0"/>
        <w:spacing w:after="0" w:line="240" w:lineRule="auto"/>
        <w:ind w:left="3963" w:right="4119"/>
        <w:jc w:val="center"/>
        <w:rPr>
          <w:rFonts w:asciiTheme="minorHAnsi" w:hAnsiTheme="minorHAnsi" w:cstheme="minorHAnsi"/>
          <w:color w:val="000000" w:themeColor="text1"/>
          <w:sz w:val="24"/>
          <w:szCs w:val="24"/>
        </w:rPr>
      </w:pPr>
      <w:r w:rsidRPr="007B7C7E">
        <w:rPr>
          <w:b/>
          <w:sz w:val="24"/>
          <w:lang w:bidi="en-US"/>
        </w:rPr>
        <w:t>Riga, 2020</w:t>
      </w:r>
    </w:p>
    <w:p w14:paraId="34D0F8C3" w14:textId="77777777" w:rsidR="00881AFF" w:rsidRPr="007B7C7E" w:rsidRDefault="00881AFF" w:rsidP="008D734B">
      <w:pPr>
        <w:jc w:val="center"/>
        <w:rPr>
          <w:rFonts w:asciiTheme="minorHAnsi" w:hAnsiTheme="minorHAnsi" w:cstheme="minorHAnsi"/>
          <w:color w:val="000000" w:themeColor="text1"/>
          <w:sz w:val="24"/>
          <w:szCs w:val="24"/>
        </w:rPr>
      </w:pPr>
      <w:r w:rsidRPr="007B7C7E">
        <w:rPr>
          <w:sz w:val="24"/>
          <w:lang w:bidi="en-US"/>
        </w:rPr>
        <w:t>(Enters into force on 1 December 2020)</w:t>
      </w:r>
    </w:p>
    <w:p w14:paraId="4FE42AC1" w14:textId="77777777" w:rsidR="00881AFF" w:rsidRPr="00BC7BEE" w:rsidRDefault="00881AFF" w:rsidP="00881AFF">
      <w:pPr>
        <w:widowControl w:val="0"/>
        <w:autoSpaceDE w:val="0"/>
        <w:autoSpaceDN w:val="0"/>
        <w:adjustRightInd w:val="0"/>
        <w:spacing w:after="0" w:line="271" w:lineRule="exact"/>
        <w:ind w:left="2993" w:right="3154"/>
        <w:jc w:val="center"/>
        <w:rPr>
          <w:rFonts w:ascii="Times New Roman" w:hAnsi="Times New Roman"/>
          <w:sz w:val="24"/>
          <w:szCs w:val="24"/>
        </w:rPr>
        <w:sectPr w:rsidR="00881AFF" w:rsidRPr="00BC7BEE">
          <w:type w:val="continuous"/>
          <w:pgSz w:w="11920" w:h="16840"/>
          <w:pgMar w:top="440" w:right="920" w:bottom="280" w:left="1220" w:header="720" w:footer="720" w:gutter="0"/>
          <w:cols w:space="720" w:equalWidth="0">
            <w:col w:w="9780"/>
          </w:cols>
          <w:noEndnote/>
        </w:sectPr>
      </w:pPr>
    </w:p>
    <w:p w14:paraId="7F4906C0" w14:textId="77777777" w:rsidR="00881AFF" w:rsidRPr="007B7C7E" w:rsidRDefault="00881AFF" w:rsidP="00102348">
      <w:pPr>
        <w:rPr>
          <w:rFonts w:asciiTheme="minorHAnsi" w:hAnsiTheme="minorHAnsi" w:cstheme="minorHAnsi"/>
          <w:b/>
        </w:rPr>
      </w:pPr>
      <w:r w:rsidRPr="007B7C7E">
        <w:rPr>
          <w:b/>
          <w:spacing w:val="2"/>
          <w:lang w:bidi="en-US"/>
        </w:rPr>
        <w:lastRenderedPageBreak/>
        <w:t>Preamble</w:t>
      </w:r>
    </w:p>
    <w:p w14:paraId="2F94EF62" w14:textId="77777777" w:rsidR="00881AFF" w:rsidRPr="007B7C7E" w:rsidRDefault="00881AFF" w:rsidP="000E74D5">
      <w:pPr>
        <w:jc w:val="both"/>
        <w:rPr>
          <w:rFonts w:asciiTheme="minorHAnsi" w:hAnsiTheme="minorHAnsi" w:cstheme="minorHAnsi"/>
          <w:sz w:val="17"/>
          <w:szCs w:val="17"/>
        </w:rPr>
      </w:pPr>
    </w:p>
    <w:p w14:paraId="7FB05159" w14:textId="77777777" w:rsidR="00881AFF" w:rsidRPr="007B7C7E" w:rsidRDefault="00881AFF" w:rsidP="000E74D5">
      <w:pPr>
        <w:jc w:val="both"/>
        <w:rPr>
          <w:rFonts w:asciiTheme="minorHAnsi" w:hAnsiTheme="minorHAnsi" w:cstheme="minorHAnsi"/>
          <w:color w:val="000000" w:themeColor="text1"/>
        </w:rPr>
      </w:pPr>
      <w:r w:rsidRPr="007B7C7E">
        <w:rPr>
          <w:spacing w:val="1"/>
          <w:lang w:bidi="en-US"/>
        </w:rPr>
        <w:t>Association of International Innovative Pharmaceuticals Producers (hereinafter - SIFFA), Latvian Generic Medicines Association (hereinafter - LPMA) and their members (hereinafter SIFFA, LPMA and their members together - Producers) approve the Code of Good Practice and Ethics (hereinafter - the Code) standard and the regulations for the application of the legislation</w:t>
      </w:r>
      <w:r w:rsidR="009771EA">
        <w:rPr>
          <w:spacing w:val="1"/>
          <w:lang w:bidi="en-US"/>
        </w:rPr>
        <w:t xml:space="preserve"> </w:t>
      </w:r>
      <w:r w:rsidR="009771EA" w:rsidRPr="007B7C7E">
        <w:rPr>
          <w:spacing w:val="1"/>
          <w:lang w:bidi="en-US"/>
        </w:rPr>
        <w:t>(hereinafter - the Regulations)</w:t>
      </w:r>
      <w:r w:rsidRPr="007B7C7E">
        <w:rPr>
          <w:spacing w:val="1"/>
          <w:lang w:bidi="en-US"/>
        </w:rPr>
        <w:t xml:space="preserve"> in force in the Republic of Latvia in order to:</w:t>
      </w:r>
    </w:p>
    <w:p w14:paraId="2A2DBFDD" w14:textId="77777777" w:rsidR="00881AFF" w:rsidRPr="007B7C7E" w:rsidRDefault="00881AFF" w:rsidP="000E74D5">
      <w:pPr>
        <w:jc w:val="both"/>
        <w:rPr>
          <w:rFonts w:asciiTheme="minorHAnsi" w:hAnsiTheme="minorHAnsi" w:cstheme="minorHAnsi"/>
        </w:rPr>
      </w:pPr>
      <w:r w:rsidRPr="007B7C7E">
        <w:rPr>
          <w:spacing w:val="1"/>
          <w:lang w:bidi="en-US"/>
        </w:rPr>
        <w:t>(1) promote the implementation of international and local ethical norms and regulatory enactments of the pharmaceutical industry so that they apply equally to all participants of the pharmaceutical market in Latvia;</w:t>
      </w:r>
    </w:p>
    <w:p w14:paraId="382656EE" w14:textId="77777777" w:rsidR="00881AFF" w:rsidRPr="007B7C7E" w:rsidRDefault="00881AFF" w:rsidP="000E74D5">
      <w:pPr>
        <w:jc w:val="both"/>
        <w:rPr>
          <w:rFonts w:asciiTheme="minorHAnsi" w:hAnsiTheme="minorHAnsi" w:cstheme="minorHAnsi"/>
        </w:rPr>
      </w:pPr>
      <w:r w:rsidRPr="007B7C7E">
        <w:rPr>
          <w:spacing w:val="1"/>
          <w:lang w:bidi="en-US"/>
        </w:rPr>
        <w:t>(2) ensure uniform application of the Code in Latvia;</w:t>
      </w:r>
    </w:p>
    <w:p w14:paraId="31E1B38A" w14:textId="77777777" w:rsidR="00FE2B59" w:rsidRPr="007B7C7E" w:rsidRDefault="00FE2B59" w:rsidP="000E74D5">
      <w:pPr>
        <w:jc w:val="both"/>
        <w:rPr>
          <w:rFonts w:asciiTheme="minorHAnsi" w:hAnsiTheme="minorHAnsi" w:cstheme="minorHAnsi"/>
        </w:rPr>
      </w:pPr>
      <w:r w:rsidRPr="007B7C7E">
        <w:rPr>
          <w:lang w:bidi="en-US"/>
        </w:rPr>
        <w:t>(2) contribute to the prevention of detected violations and the avoidance of similar infringements in the future.</w:t>
      </w:r>
    </w:p>
    <w:p w14:paraId="3AB18F1F" w14:textId="77777777" w:rsidR="005515C7" w:rsidRPr="007B7C7E" w:rsidRDefault="005515C7" w:rsidP="000E74D5">
      <w:pPr>
        <w:jc w:val="both"/>
        <w:rPr>
          <w:rFonts w:asciiTheme="minorHAnsi" w:hAnsiTheme="minorHAnsi" w:cstheme="minorHAnsi"/>
          <w:b/>
          <w:color w:val="000000" w:themeColor="text1"/>
          <w:sz w:val="17"/>
          <w:szCs w:val="17"/>
        </w:rPr>
      </w:pPr>
      <w:r w:rsidRPr="007B7C7E">
        <w:rPr>
          <w:b/>
          <w:lang w:bidi="en-US"/>
        </w:rPr>
        <w:t>Section 10. Events and Hospitality</w:t>
      </w:r>
    </w:p>
    <w:p w14:paraId="48CC77DF" w14:textId="77777777" w:rsidR="00881AFF" w:rsidRPr="007B7C7E" w:rsidRDefault="00881AFF" w:rsidP="000E74D5">
      <w:pPr>
        <w:jc w:val="both"/>
        <w:rPr>
          <w:rFonts w:asciiTheme="minorHAnsi" w:hAnsiTheme="minorHAnsi" w:cstheme="minorHAnsi"/>
        </w:rPr>
      </w:pPr>
      <w:r w:rsidRPr="007B7C7E">
        <w:rPr>
          <w:lang w:bidi="en-US"/>
        </w:rPr>
        <w:t>1. All promotional activities, scientific or professional meetings, congresses, conferences, symposiums and other similar events (including, but not limited to advisory board meetings, visits to research or manufacturing establishments, planning, training or research meetings, clinical trials of medicinal products and use observations) (hereinafter - Events) organised or sponsored by the Producers must take place in appropriate locations consistent with the main purpose of the Event, be directly related to the benefits of scientific and medical progress and improved healthcare, and hospitality can only be offered if appropriate and otherwise in accordance with the provisions of the Code.</w:t>
      </w:r>
    </w:p>
    <w:p w14:paraId="671F7728" w14:textId="77777777" w:rsidR="00881AFF" w:rsidRPr="007B7C7E" w:rsidRDefault="00881AFF" w:rsidP="000E74D5">
      <w:pPr>
        <w:jc w:val="both"/>
        <w:rPr>
          <w:rFonts w:asciiTheme="minorHAnsi" w:hAnsiTheme="minorHAnsi" w:cstheme="minorHAnsi"/>
        </w:rPr>
      </w:pPr>
      <w:r w:rsidRPr="007B7C7E">
        <w:rPr>
          <w:lang w:bidi="en-US"/>
        </w:rPr>
        <w:t>1.1. Hospitality related to the Events (including those where medicines are not advertised) should be limited to travel, meals (within the Event programme), accommodation and participation (registration) fees, if any, as well as training materials.</w:t>
      </w:r>
    </w:p>
    <w:p w14:paraId="3D2B2EDF" w14:textId="77777777" w:rsidR="00881AFF" w:rsidRPr="007B7C7E" w:rsidRDefault="00881AFF" w:rsidP="000E74D5">
      <w:pPr>
        <w:jc w:val="both"/>
        <w:rPr>
          <w:rFonts w:asciiTheme="minorHAnsi" w:hAnsiTheme="minorHAnsi" w:cstheme="minorHAnsi"/>
        </w:rPr>
      </w:pPr>
      <w:r w:rsidRPr="007B7C7E">
        <w:rPr>
          <w:lang w:bidi="en-US"/>
        </w:rPr>
        <w:t>1.2. Hospitality can only be extended to persons identified as participants in the Event with the rights of participants. It is not allowed to pay hospitality expenses for other persons.</w:t>
      </w:r>
    </w:p>
    <w:p w14:paraId="3CB1E5B9" w14:textId="77777777" w:rsidR="00881AFF" w:rsidRPr="007B7C7E" w:rsidRDefault="00881AFF" w:rsidP="000E74D5">
      <w:pPr>
        <w:jc w:val="both"/>
        <w:rPr>
          <w:rFonts w:asciiTheme="minorHAnsi" w:hAnsiTheme="minorHAnsi" w:cstheme="minorHAnsi"/>
        </w:rPr>
      </w:pPr>
      <w:r w:rsidRPr="007B7C7E">
        <w:rPr>
          <w:lang w:bidi="en-US"/>
        </w:rPr>
        <w:t>1.3. All types of hospitality offered must be of a reasonable level, proportionate and strictly limited to the main purpose of the Event.</w:t>
      </w:r>
    </w:p>
    <w:p w14:paraId="0FC6B357" w14:textId="77777777" w:rsidR="00881AFF" w:rsidRPr="007B7C7E" w:rsidRDefault="00881AFF" w:rsidP="000E74D5">
      <w:pPr>
        <w:jc w:val="both"/>
        <w:rPr>
          <w:rFonts w:asciiTheme="minorHAnsi" w:hAnsiTheme="minorHAnsi" w:cstheme="minorHAnsi"/>
        </w:rPr>
      </w:pPr>
      <w:r w:rsidRPr="007B7C7E">
        <w:rPr>
          <w:lang w:bidi="en-US"/>
        </w:rPr>
        <w:t>1.4. It is generally accepted that the hospitality offered should not exceed what the participants would be willing to pay for themselves.</w:t>
      </w:r>
    </w:p>
    <w:p w14:paraId="54DACEDF" w14:textId="77777777" w:rsidR="00881AFF" w:rsidRPr="007B7C7E" w:rsidRDefault="00881AFF" w:rsidP="000E74D5">
      <w:pPr>
        <w:jc w:val="both"/>
        <w:rPr>
          <w:rFonts w:asciiTheme="minorHAnsi" w:hAnsiTheme="minorHAnsi" w:cstheme="minorHAnsi"/>
        </w:rPr>
      </w:pPr>
      <w:r w:rsidRPr="007B7C7E">
        <w:rPr>
          <w:lang w:bidi="en-US"/>
        </w:rPr>
        <w:t>1.5. No payment may be offered to compensate the time spent by the participant when attending the Event.</w:t>
      </w:r>
    </w:p>
    <w:p w14:paraId="693F18AD" w14:textId="77777777" w:rsidR="00881AFF" w:rsidRPr="007B7C7E" w:rsidRDefault="00881AFF" w:rsidP="000E74D5">
      <w:pPr>
        <w:jc w:val="both"/>
        <w:rPr>
          <w:rFonts w:asciiTheme="minorHAnsi" w:hAnsiTheme="minorHAnsi" w:cstheme="minorHAnsi"/>
        </w:rPr>
      </w:pPr>
      <w:r w:rsidRPr="007B7C7E">
        <w:rPr>
          <w:lang w:bidi="en-US"/>
        </w:rPr>
        <w:t>1.6. Hospitality must not include sponsorship or the organisation of any entertainment events (e.g., sports, tourism, leisure or other entertainment events).</w:t>
      </w:r>
    </w:p>
    <w:p w14:paraId="34A2929E" w14:textId="77777777" w:rsidR="00881AFF" w:rsidRPr="007B7C7E" w:rsidRDefault="00881AFF" w:rsidP="000E74D5">
      <w:pPr>
        <w:jc w:val="both"/>
        <w:rPr>
          <w:rFonts w:asciiTheme="minorHAnsi" w:hAnsiTheme="minorHAnsi" w:cstheme="minorHAnsi"/>
        </w:rPr>
      </w:pPr>
      <w:r w:rsidRPr="007B7C7E">
        <w:rPr>
          <w:lang w:bidi="en-US"/>
        </w:rPr>
        <w:t>1.7. Scientific part of the Event should fill most (preferably at least two thirds</w:t>
      </w:r>
      <w:r w:rsidR="0090282D">
        <w:rPr>
          <w:lang w:bidi="en-US"/>
        </w:rPr>
        <w:t>)</w:t>
      </w:r>
      <w:r w:rsidRPr="007B7C7E">
        <w:rPr>
          <w:lang w:bidi="en-US"/>
        </w:rPr>
        <w:t xml:space="preserve"> of the total time of the event. The programme/invitation of the event must specify the time allocated for the main purpose of the event and the time for hospitality.</w:t>
      </w:r>
    </w:p>
    <w:p w14:paraId="5BDF9535" w14:textId="77777777" w:rsidR="00881AFF" w:rsidRPr="007B7C7E" w:rsidRDefault="00881AFF" w:rsidP="000E74D5">
      <w:pPr>
        <w:jc w:val="both"/>
        <w:rPr>
          <w:rFonts w:asciiTheme="minorHAnsi" w:hAnsiTheme="minorHAnsi" w:cstheme="minorHAnsi"/>
        </w:rPr>
      </w:pPr>
      <w:r w:rsidRPr="007B7C7E">
        <w:rPr>
          <w:lang w:bidi="en-US"/>
        </w:rPr>
        <w:t>1.8. The event programme/invitation must specify exactly who the organiser and supporter of the event is, indicating what exactly is supported.</w:t>
      </w:r>
    </w:p>
    <w:p w14:paraId="2B6BFBFB" w14:textId="77777777" w:rsidR="00CD5513" w:rsidRPr="007B7C7E" w:rsidRDefault="00881AFF" w:rsidP="000E74D5">
      <w:pPr>
        <w:jc w:val="both"/>
        <w:rPr>
          <w:rFonts w:asciiTheme="minorHAnsi" w:hAnsiTheme="minorHAnsi" w:cstheme="minorHAnsi"/>
        </w:rPr>
      </w:pPr>
      <w:r w:rsidRPr="007B7C7E">
        <w:rPr>
          <w:lang w:bidi="en-US"/>
        </w:rPr>
        <w:t>1.9. Producers must comply with the criteria relating to the selection and sponsorship of participants for participation in the Events, as set out in the Code in force or related to it.</w:t>
      </w:r>
    </w:p>
    <w:p w14:paraId="68AE8AF9" w14:textId="77777777" w:rsidR="003B1FDA" w:rsidRPr="007B7C7E" w:rsidRDefault="003B1FDA" w:rsidP="000E74D5">
      <w:pPr>
        <w:jc w:val="both"/>
        <w:rPr>
          <w:rFonts w:asciiTheme="minorHAnsi" w:hAnsiTheme="minorHAnsi" w:cstheme="minorHAnsi"/>
        </w:rPr>
      </w:pPr>
      <w:r w:rsidRPr="007B7C7E">
        <w:rPr>
          <w:lang w:bidi="en-US"/>
        </w:rPr>
        <w:t>1.10. If the Event is organised outside Latvia, the Producer must receive a justification of the association, foundation or medical institution for the participation of HCP in the Event.</w:t>
      </w:r>
    </w:p>
    <w:p w14:paraId="0B16548B" w14:textId="77777777" w:rsidR="00881AFF" w:rsidRPr="007B7C7E" w:rsidRDefault="00881AFF" w:rsidP="000E74D5">
      <w:pPr>
        <w:jc w:val="both"/>
        <w:rPr>
          <w:rFonts w:asciiTheme="minorHAnsi" w:hAnsiTheme="minorHAnsi" w:cstheme="minorHAnsi"/>
        </w:rPr>
      </w:pPr>
      <w:r w:rsidRPr="007B7C7E">
        <w:rPr>
          <w:lang w:bidi="en-US"/>
        </w:rPr>
        <w:lastRenderedPageBreak/>
        <w:t>2. If there are doubts about the compliance of an Event with the Code or these Regulations, it is desirable and advisable to apply to the Ethics Commission with a request for an explanation of the legal acts in force in the Republic of Latvia, the Code and these Regulations.</w:t>
      </w:r>
    </w:p>
    <w:p w14:paraId="72B6030D" w14:textId="77777777" w:rsidR="00363234" w:rsidRPr="007B7C7E" w:rsidRDefault="00363234" w:rsidP="000E74D5">
      <w:pPr>
        <w:jc w:val="both"/>
        <w:rPr>
          <w:rFonts w:asciiTheme="minorHAnsi" w:hAnsiTheme="minorHAnsi" w:cstheme="minorHAnsi"/>
        </w:rPr>
      </w:pPr>
      <w:r w:rsidRPr="007B7C7E">
        <w:rPr>
          <w:lang w:bidi="en-US"/>
        </w:rPr>
        <w:t>3. Recommended venues for events:</w:t>
      </w:r>
    </w:p>
    <w:p w14:paraId="4BA01085" w14:textId="77777777" w:rsidR="00363234" w:rsidRPr="007B7C7E" w:rsidRDefault="00363234" w:rsidP="000E74D5">
      <w:pPr>
        <w:jc w:val="both"/>
        <w:rPr>
          <w:rFonts w:asciiTheme="minorHAnsi" w:hAnsiTheme="minorHAnsi" w:cstheme="minorHAnsi"/>
        </w:rPr>
      </w:pPr>
      <w:r w:rsidRPr="007B7C7E">
        <w:rPr>
          <w:lang w:bidi="en-US"/>
        </w:rPr>
        <w:t>3.1. conference halls;</w:t>
      </w:r>
    </w:p>
    <w:p w14:paraId="56A68F76" w14:textId="77777777" w:rsidR="00363234" w:rsidRPr="007B7C7E" w:rsidRDefault="00363234" w:rsidP="000E74D5">
      <w:pPr>
        <w:jc w:val="both"/>
        <w:rPr>
          <w:rFonts w:asciiTheme="minorHAnsi" w:hAnsiTheme="minorHAnsi" w:cstheme="minorHAnsi"/>
        </w:rPr>
      </w:pPr>
      <w:r w:rsidRPr="007B7C7E">
        <w:rPr>
          <w:lang w:bidi="en-US"/>
        </w:rPr>
        <w:t>3.2. premises of public organisations (associations, societies);</w:t>
      </w:r>
    </w:p>
    <w:p w14:paraId="4EDA9734" w14:textId="77777777" w:rsidR="00363234" w:rsidRPr="007B7C7E" w:rsidRDefault="00363234" w:rsidP="000E74D5">
      <w:pPr>
        <w:jc w:val="both"/>
        <w:rPr>
          <w:rFonts w:asciiTheme="minorHAnsi" w:hAnsiTheme="minorHAnsi" w:cstheme="minorHAnsi"/>
        </w:rPr>
      </w:pPr>
      <w:r w:rsidRPr="007B7C7E">
        <w:rPr>
          <w:lang w:bidi="en-US"/>
        </w:rPr>
        <w:t>3.3. medical institutions;</w:t>
      </w:r>
    </w:p>
    <w:p w14:paraId="32E790F7" w14:textId="77777777" w:rsidR="00363234" w:rsidRPr="007B7C7E" w:rsidRDefault="00363234" w:rsidP="000E74D5">
      <w:pPr>
        <w:jc w:val="both"/>
        <w:rPr>
          <w:rFonts w:asciiTheme="minorHAnsi" w:hAnsiTheme="minorHAnsi" w:cstheme="minorHAnsi"/>
        </w:rPr>
      </w:pPr>
      <w:r w:rsidRPr="007B7C7E">
        <w:rPr>
          <w:lang w:bidi="en-US"/>
        </w:rPr>
        <w:t>3.4. pharmacies;</w:t>
      </w:r>
    </w:p>
    <w:p w14:paraId="78B11CDB" w14:textId="77777777" w:rsidR="0057545E" w:rsidRPr="007B7C7E" w:rsidRDefault="00363234" w:rsidP="000E74D5">
      <w:pPr>
        <w:jc w:val="both"/>
        <w:rPr>
          <w:rFonts w:asciiTheme="minorHAnsi" w:hAnsiTheme="minorHAnsi" w:cstheme="minorHAnsi"/>
        </w:rPr>
      </w:pPr>
      <w:r w:rsidRPr="007B7C7E">
        <w:rPr>
          <w:lang w:bidi="en-US"/>
        </w:rPr>
        <w:t>3.5. other places where there are conference rooms and which are not directly connected with entertainment venues. It is permissible to organise Events in public catering companies if there are no appropriate premises in the relevant territory, referred to in Clauses 3.1-3.5. It is forbidden to organise Events in other places. Venues that are “extravagant” or “famous” for their entertainment should be avoided for organising Events.</w:t>
      </w:r>
    </w:p>
    <w:p w14:paraId="3DAD088D" w14:textId="77777777" w:rsidR="0057545E" w:rsidRPr="007B7C7E" w:rsidRDefault="0057545E" w:rsidP="000E74D5">
      <w:pPr>
        <w:jc w:val="both"/>
        <w:rPr>
          <w:rFonts w:asciiTheme="minorHAnsi" w:hAnsiTheme="minorHAnsi" w:cstheme="minorHAnsi"/>
        </w:rPr>
      </w:pPr>
      <w:r w:rsidRPr="007B7C7E">
        <w:rPr>
          <w:lang w:bidi="en-US"/>
        </w:rPr>
        <w:t>4. The following hospitality can be offered in Latvia:</w:t>
      </w:r>
    </w:p>
    <w:p w14:paraId="322DE0F7" w14:textId="77777777" w:rsidR="0057545E" w:rsidRPr="007B7C7E" w:rsidRDefault="0057545E" w:rsidP="000E74D5">
      <w:pPr>
        <w:jc w:val="both"/>
        <w:rPr>
          <w:rFonts w:asciiTheme="minorHAnsi" w:hAnsiTheme="minorHAnsi" w:cstheme="minorHAnsi"/>
        </w:rPr>
      </w:pPr>
      <w:r w:rsidRPr="007B7C7E">
        <w:rPr>
          <w:lang w:bidi="en-US"/>
        </w:rPr>
        <w:t>4.1. stay at the Event venue;</w:t>
      </w:r>
    </w:p>
    <w:p w14:paraId="251C321C" w14:textId="3A11BF4E" w:rsidR="00850EA4" w:rsidRDefault="0057545E" w:rsidP="00E366A6">
      <w:pPr>
        <w:pStyle w:val="Default"/>
        <w:jc w:val="both"/>
        <w:rPr>
          <w:rFonts w:ascii="Calibri" w:hAnsi="Calibri"/>
          <w:color w:val="002060"/>
          <w:sz w:val="18"/>
          <w:szCs w:val="18"/>
          <w:lang w:val="lv-LV"/>
        </w:rPr>
      </w:pPr>
      <w:r w:rsidRPr="007B7C7E">
        <w:rPr>
          <w:lang w:bidi="en-US"/>
        </w:rPr>
        <w:t>4.2. catering. The maximum amount of expenditure per person per meal (food and drink) may not exceed EUR </w:t>
      </w:r>
      <w:r w:rsidR="00E366A6" w:rsidRPr="00E366A6">
        <w:rPr>
          <w:color w:val="002060"/>
          <w:lang w:bidi="en-US"/>
        </w:rPr>
        <w:t>8</w:t>
      </w:r>
      <w:r w:rsidRPr="00E366A6">
        <w:rPr>
          <w:color w:val="002060"/>
          <w:lang w:bidi="en-US"/>
        </w:rPr>
        <w:t>0</w:t>
      </w:r>
      <w:r w:rsidRPr="007B7C7E">
        <w:rPr>
          <w:lang w:bidi="en-US"/>
        </w:rPr>
        <w:t>, and the total maximum amount of expenditure per meal per day may not exceed EUR </w:t>
      </w:r>
      <w:r w:rsidRPr="00E366A6">
        <w:rPr>
          <w:color w:val="002060"/>
          <w:lang w:bidi="en-US"/>
        </w:rPr>
        <w:t>1</w:t>
      </w:r>
      <w:r w:rsidR="00E366A6" w:rsidRPr="00E366A6">
        <w:rPr>
          <w:color w:val="002060"/>
          <w:lang w:bidi="en-US"/>
        </w:rPr>
        <w:t>5</w:t>
      </w:r>
      <w:r w:rsidRPr="00E366A6">
        <w:rPr>
          <w:color w:val="002060"/>
          <w:lang w:bidi="en-US"/>
        </w:rPr>
        <w:t>0</w:t>
      </w:r>
      <w:r w:rsidRPr="007B7C7E">
        <w:rPr>
          <w:lang w:bidi="en-US"/>
        </w:rPr>
        <w:t>, including value added tax (VAT);</w:t>
      </w:r>
      <w:r w:rsidR="00E366A6">
        <w:rPr>
          <w:lang w:bidi="en-US"/>
        </w:rPr>
        <w:t xml:space="preserve"> </w:t>
      </w:r>
      <w:r w:rsidR="00E366A6" w:rsidRPr="00D60E2A">
        <w:rPr>
          <w:rFonts w:ascii="Calibri" w:hAnsi="Calibri"/>
          <w:color w:val="002060"/>
          <w:sz w:val="18"/>
          <w:szCs w:val="18"/>
          <w:lang w:val="lv-LV"/>
        </w:rPr>
        <w:t>(</w:t>
      </w:r>
      <w:proofErr w:type="spellStart"/>
      <w:r w:rsidR="00E366A6" w:rsidRPr="00E366A6">
        <w:rPr>
          <w:rFonts w:ascii="Calibri" w:hAnsi="Calibri"/>
          <w:color w:val="002060"/>
          <w:sz w:val="18"/>
          <w:szCs w:val="18"/>
          <w:lang w:val="lv-LV"/>
        </w:rPr>
        <w:t>Amendments</w:t>
      </w:r>
      <w:proofErr w:type="spellEnd"/>
      <w:r w:rsidR="00E366A6" w:rsidRPr="00E366A6">
        <w:rPr>
          <w:rFonts w:ascii="Calibri" w:hAnsi="Calibri"/>
          <w:color w:val="002060"/>
          <w:sz w:val="18"/>
          <w:szCs w:val="18"/>
          <w:lang w:val="lv-LV"/>
        </w:rPr>
        <w:t xml:space="preserve"> </w:t>
      </w:r>
      <w:proofErr w:type="spellStart"/>
      <w:r w:rsidR="00E366A6" w:rsidRPr="00E366A6">
        <w:rPr>
          <w:rFonts w:ascii="Calibri" w:hAnsi="Calibri"/>
          <w:color w:val="002060"/>
          <w:sz w:val="18"/>
          <w:szCs w:val="18"/>
          <w:lang w:val="lv-LV"/>
        </w:rPr>
        <w:t>approved</w:t>
      </w:r>
      <w:proofErr w:type="spellEnd"/>
      <w:r w:rsidR="00E366A6" w:rsidRPr="00E366A6">
        <w:rPr>
          <w:rFonts w:ascii="Calibri" w:hAnsi="Calibri"/>
          <w:color w:val="002060"/>
          <w:sz w:val="18"/>
          <w:szCs w:val="18"/>
          <w:lang w:val="lv-LV"/>
        </w:rPr>
        <w:t xml:space="preserve"> </w:t>
      </w:r>
      <w:proofErr w:type="spellStart"/>
      <w:r w:rsidR="00E366A6" w:rsidRPr="00E366A6">
        <w:rPr>
          <w:rFonts w:ascii="Calibri" w:hAnsi="Calibri"/>
          <w:color w:val="002060"/>
          <w:sz w:val="18"/>
          <w:szCs w:val="18"/>
          <w:lang w:val="lv-LV"/>
        </w:rPr>
        <w:t>by</w:t>
      </w:r>
      <w:proofErr w:type="spellEnd"/>
      <w:r w:rsidR="00E366A6" w:rsidRPr="00E366A6">
        <w:rPr>
          <w:rFonts w:ascii="Calibri" w:hAnsi="Calibri"/>
          <w:color w:val="002060"/>
          <w:sz w:val="18"/>
          <w:szCs w:val="18"/>
          <w:lang w:val="lv-LV"/>
        </w:rPr>
        <w:t xml:space="preserve"> a </w:t>
      </w:r>
      <w:proofErr w:type="spellStart"/>
      <w:r w:rsidR="00E366A6" w:rsidRPr="00E366A6">
        <w:rPr>
          <w:rFonts w:ascii="Calibri" w:hAnsi="Calibri"/>
          <w:color w:val="002060"/>
          <w:sz w:val="18"/>
          <w:szCs w:val="18"/>
          <w:lang w:val="lv-LV"/>
        </w:rPr>
        <w:t>vote</w:t>
      </w:r>
      <w:proofErr w:type="spellEnd"/>
      <w:r w:rsidR="00E366A6" w:rsidRPr="00E366A6">
        <w:rPr>
          <w:rFonts w:ascii="Calibri" w:hAnsi="Calibri"/>
          <w:color w:val="002060"/>
          <w:sz w:val="18"/>
          <w:szCs w:val="18"/>
          <w:lang w:val="lv-LV"/>
        </w:rPr>
        <w:t xml:space="preserve"> </w:t>
      </w:r>
      <w:proofErr w:type="spellStart"/>
      <w:r w:rsidR="00E366A6" w:rsidRPr="00E366A6">
        <w:rPr>
          <w:rFonts w:ascii="Calibri" w:hAnsi="Calibri"/>
          <w:color w:val="002060"/>
          <w:sz w:val="18"/>
          <w:szCs w:val="18"/>
          <w:lang w:val="lv-LV"/>
        </w:rPr>
        <w:t>of</w:t>
      </w:r>
      <w:proofErr w:type="spellEnd"/>
      <w:r w:rsidR="00E366A6" w:rsidRPr="00E366A6">
        <w:rPr>
          <w:rFonts w:ascii="Calibri" w:hAnsi="Calibri"/>
          <w:color w:val="002060"/>
          <w:sz w:val="18"/>
          <w:szCs w:val="18"/>
          <w:lang w:val="lv-LV"/>
        </w:rPr>
        <w:t xml:space="preserve"> SIFFA </w:t>
      </w:r>
      <w:proofErr w:type="spellStart"/>
      <w:r w:rsidR="00E366A6" w:rsidRPr="00E366A6">
        <w:rPr>
          <w:rFonts w:ascii="Calibri" w:hAnsi="Calibri"/>
          <w:color w:val="002060"/>
          <w:sz w:val="18"/>
          <w:szCs w:val="18"/>
          <w:lang w:val="lv-LV"/>
        </w:rPr>
        <w:t>and</w:t>
      </w:r>
      <w:proofErr w:type="spellEnd"/>
      <w:r w:rsidR="00E366A6" w:rsidRPr="00E366A6">
        <w:rPr>
          <w:rFonts w:ascii="Calibri" w:hAnsi="Calibri"/>
          <w:color w:val="002060"/>
          <w:sz w:val="18"/>
          <w:szCs w:val="18"/>
          <w:lang w:val="lv-LV"/>
        </w:rPr>
        <w:t xml:space="preserve"> LPMA </w:t>
      </w:r>
      <w:proofErr w:type="spellStart"/>
      <w:r w:rsidR="00E366A6" w:rsidRPr="00E366A6">
        <w:rPr>
          <w:rFonts w:ascii="Calibri" w:hAnsi="Calibri"/>
          <w:color w:val="002060"/>
          <w:sz w:val="18"/>
          <w:szCs w:val="18"/>
          <w:lang w:val="lv-LV"/>
        </w:rPr>
        <w:t>members</w:t>
      </w:r>
      <w:proofErr w:type="spellEnd"/>
      <w:r w:rsidR="00E366A6" w:rsidRPr="00E366A6">
        <w:rPr>
          <w:rFonts w:ascii="Calibri" w:hAnsi="Calibri"/>
          <w:color w:val="002060"/>
          <w:sz w:val="18"/>
          <w:szCs w:val="18"/>
          <w:lang w:val="lv-LV"/>
        </w:rPr>
        <w:t xml:space="preserve">, </w:t>
      </w:r>
      <w:proofErr w:type="spellStart"/>
      <w:r w:rsidR="00E366A6" w:rsidRPr="00E366A6">
        <w:rPr>
          <w:rFonts w:ascii="Calibri" w:hAnsi="Calibri"/>
          <w:color w:val="002060"/>
          <w:sz w:val="18"/>
          <w:szCs w:val="18"/>
          <w:lang w:val="lv-LV"/>
        </w:rPr>
        <w:t>valid</w:t>
      </w:r>
      <w:proofErr w:type="spellEnd"/>
      <w:r w:rsidR="00E366A6" w:rsidRPr="00E366A6">
        <w:rPr>
          <w:rFonts w:ascii="Calibri" w:hAnsi="Calibri"/>
          <w:color w:val="002060"/>
          <w:sz w:val="18"/>
          <w:szCs w:val="18"/>
          <w:lang w:val="lv-LV"/>
        </w:rPr>
        <w:t xml:space="preserve"> </w:t>
      </w:r>
      <w:proofErr w:type="spellStart"/>
      <w:r w:rsidR="00E366A6" w:rsidRPr="00E366A6">
        <w:rPr>
          <w:rFonts w:ascii="Calibri" w:hAnsi="Calibri"/>
          <w:color w:val="002060"/>
          <w:sz w:val="18"/>
          <w:szCs w:val="18"/>
          <w:lang w:val="lv-LV"/>
        </w:rPr>
        <w:t>from</w:t>
      </w:r>
      <w:proofErr w:type="spellEnd"/>
      <w:r w:rsidR="00E366A6" w:rsidRPr="00E366A6">
        <w:rPr>
          <w:rFonts w:ascii="Calibri" w:hAnsi="Calibri"/>
          <w:color w:val="002060"/>
          <w:sz w:val="18"/>
          <w:szCs w:val="18"/>
          <w:lang w:val="lv-LV"/>
        </w:rPr>
        <w:t xml:space="preserve"> 18.07.2022.</w:t>
      </w:r>
      <w:r w:rsidR="00E366A6" w:rsidRPr="00D60E2A">
        <w:rPr>
          <w:rFonts w:ascii="Calibri" w:hAnsi="Calibri"/>
          <w:color w:val="002060"/>
          <w:sz w:val="18"/>
          <w:szCs w:val="18"/>
          <w:lang w:val="lv-LV"/>
        </w:rPr>
        <w:t>)</w:t>
      </w:r>
    </w:p>
    <w:p w14:paraId="4932342E" w14:textId="77777777" w:rsidR="00E366A6" w:rsidRPr="00E366A6" w:rsidRDefault="00E366A6" w:rsidP="00E366A6">
      <w:pPr>
        <w:pStyle w:val="Default"/>
        <w:jc w:val="both"/>
        <w:rPr>
          <w:rFonts w:ascii="Calibri" w:hAnsi="Calibri"/>
          <w:color w:val="002060"/>
          <w:sz w:val="18"/>
          <w:szCs w:val="18"/>
          <w:lang w:val="lv-LV"/>
        </w:rPr>
      </w:pPr>
    </w:p>
    <w:p w14:paraId="45BB0F7F" w14:textId="77777777" w:rsidR="0057545E" w:rsidRPr="007B7C7E" w:rsidRDefault="0057545E" w:rsidP="000E74D5">
      <w:pPr>
        <w:jc w:val="both"/>
        <w:rPr>
          <w:rFonts w:asciiTheme="minorHAnsi" w:hAnsiTheme="minorHAnsi" w:cstheme="minorHAnsi"/>
        </w:rPr>
      </w:pPr>
      <w:r w:rsidRPr="007B7C7E">
        <w:rPr>
          <w:lang w:bidi="en-US"/>
        </w:rPr>
        <w:t>4.3. transport to and from the Event venue.</w:t>
      </w:r>
    </w:p>
    <w:p w14:paraId="344E653C" w14:textId="77777777" w:rsidR="0057545E" w:rsidRPr="007B7C7E" w:rsidRDefault="0057545E" w:rsidP="000E74D5">
      <w:pPr>
        <w:jc w:val="both"/>
        <w:rPr>
          <w:rFonts w:asciiTheme="minorHAnsi" w:hAnsiTheme="minorHAnsi" w:cstheme="minorHAnsi"/>
        </w:rPr>
      </w:pPr>
      <w:r w:rsidRPr="007B7C7E">
        <w:rPr>
          <w:lang w:bidi="en-US"/>
        </w:rPr>
        <w:t>5. Producers may not organise or sponsor an Event that takes place outside the region of residence of HCP or the patient (an “international event”), excluding cases, when:</w:t>
      </w:r>
    </w:p>
    <w:p w14:paraId="3E8E906E" w14:textId="77777777" w:rsidR="00850EA4" w:rsidRPr="007B7C7E" w:rsidRDefault="0057545E" w:rsidP="000E74D5">
      <w:pPr>
        <w:jc w:val="both"/>
        <w:rPr>
          <w:rFonts w:asciiTheme="minorHAnsi" w:hAnsiTheme="minorHAnsi" w:cstheme="minorHAnsi"/>
        </w:rPr>
      </w:pPr>
      <w:r w:rsidRPr="007B7C7E">
        <w:rPr>
          <w:lang w:bidi="en-US"/>
        </w:rPr>
        <w:t xml:space="preserve">5.1. The event is directly related to the development of the knowledge and skills required for the work of HCP and/or the knowledge of patients </w:t>
      </w:r>
      <w:r w:rsidRPr="007B7C7E">
        <w:rPr>
          <w:u w:val="single"/>
          <w:lang w:bidi="en-US"/>
        </w:rPr>
        <w:t>and</w:t>
      </w:r>
      <w:r w:rsidRPr="007B7C7E">
        <w:rPr>
          <w:lang w:bidi="en-US"/>
        </w:rPr>
        <w:t xml:space="preserve"> most of the invitees come from other countries (considering the countries from which the majority of the invitees come, it is logical to organise the event in the country from which the majority of the invitees come from) or,</w:t>
      </w:r>
    </w:p>
    <w:p w14:paraId="7E47996F" w14:textId="77777777" w:rsidR="00850EA4" w:rsidRPr="007B7C7E" w:rsidRDefault="00083CA3" w:rsidP="000E74D5">
      <w:pPr>
        <w:jc w:val="both"/>
        <w:rPr>
          <w:rFonts w:asciiTheme="minorHAnsi" w:hAnsiTheme="minorHAnsi" w:cstheme="minorHAnsi"/>
        </w:rPr>
      </w:pPr>
      <w:r w:rsidRPr="007B7C7E">
        <w:rPr>
          <w:lang w:bidi="en-US"/>
        </w:rPr>
        <w:t>5.2. taking into account the location of the relevant resources, which is the object or subject of the Event, it is logical to organise the Event in another country and it is not possible to organise such an Event in Latvia.</w:t>
      </w:r>
    </w:p>
    <w:p w14:paraId="1BD6307C" w14:textId="77777777" w:rsidR="00083CA3" w:rsidRPr="007B7C7E" w:rsidRDefault="00083CA3" w:rsidP="000E74D5">
      <w:pPr>
        <w:jc w:val="both"/>
        <w:rPr>
          <w:rFonts w:asciiTheme="minorHAnsi" w:hAnsiTheme="minorHAnsi" w:cstheme="minorHAnsi"/>
        </w:rPr>
      </w:pPr>
      <w:r w:rsidRPr="007B7C7E">
        <w:rPr>
          <w:lang w:bidi="en-US"/>
        </w:rPr>
        <w:t>6. The following costs are allowed in connection with an international Event (Event Abroad):</w:t>
      </w:r>
    </w:p>
    <w:p w14:paraId="030ED3F3" w14:textId="77777777" w:rsidR="00850EA4" w:rsidRPr="007B7C7E" w:rsidRDefault="00083CA3" w:rsidP="000E74D5">
      <w:pPr>
        <w:jc w:val="both"/>
        <w:rPr>
          <w:rFonts w:asciiTheme="minorHAnsi" w:hAnsiTheme="minorHAnsi" w:cstheme="minorHAnsi"/>
        </w:rPr>
      </w:pPr>
      <w:r w:rsidRPr="007B7C7E">
        <w:rPr>
          <w:lang w:bidi="en-US"/>
        </w:rPr>
        <w:t>6.1. economy class air tickets, except for in cases where economy class tickets are not available for the flight in question, bus and rail tickets, not higher than mid-range car rental or taxi services to and from the airport;</w:t>
      </w:r>
    </w:p>
    <w:p w14:paraId="6AE5CF04" w14:textId="77777777" w:rsidR="00083CA3" w:rsidRPr="007B7C7E" w:rsidRDefault="00083CA3" w:rsidP="000E74D5">
      <w:pPr>
        <w:jc w:val="both"/>
        <w:rPr>
          <w:rFonts w:asciiTheme="minorHAnsi" w:hAnsiTheme="minorHAnsi" w:cstheme="minorHAnsi"/>
        </w:rPr>
      </w:pPr>
      <w:r w:rsidRPr="007B7C7E">
        <w:rPr>
          <w:lang w:bidi="en-US"/>
        </w:rPr>
        <w:t>6.2. for catering expenses the Producer applies the norms/limits of the country where the Event takes place (i.e. according to the financial threshold set in the “host country”);</w:t>
      </w:r>
    </w:p>
    <w:p w14:paraId="0D43C013" w14:textId="77777777" w:rsidR="00083CA3" w:rsidRPr="007B7C7E" w:rsidRDefault="00083CA3" w:rsidP="000E74D5">
      <w:pPr>
        <w:jc w:val="both"/>
        <w:rPr>
          <w:rFonts w:asciiTheme="minorHAnsi" w:hAnsiTheme="minorHAnsi" w:cstheme="minorHAnsi"/>
        </w:rPr>
      </w:pPr>
      <w:r w:rsidRPr="007B7C7E">
        <w:rPr>
          <w:lang w:bidi="en-US"/>
        </w:rPr>
        <w:t>6.3. accommodation in a hotel</w:t>
      </w:r>
      <w:r w:rsidR="000E74D5">
        <w:rPr>
          <w:i/>
          <w:sz w:val="24"/>
          <w:lang w:bidi="en-US"/>
        </w:rPr>
        <w:t> </w:t>
      </w:r>
      <w:r w:rsidRPr="007B7C7E">
        <w:rPr>
          <w:lang w:bidi="en-US"/>
        </w:rPr>
        <w:t>- not higher than 4 stars, except for in cases when international Events take place in hotels of a higher category and the participants of the Event stay in this hotel.</w:t>
      </w:r>
    </w:p>
    <w:p w14:paraId="7B2C476E" w14:textId="77777777" w:rsidR="00881AFF" w:rsidRPr="007B7C7E" w:rsidRDefault="00083CA3" w:rsidP="000E74D5">
      <w:pPr>
        <w:jc w:val="both"/>
        <w:rPr>
          <w:rFonts w:asciiTheme="minorHAnsi" w:hAnsiTheme="minorHAnsi" w:cstheme="minorHAnsi"/>
          <w:i/>
          <w:iCs/>
        </w:rPr>
      </w:pPr>
      <w:r w:rsidRPr="007B7C7E">
        <w:rPr>
          <w:lang w:bidi="en-US"/>
        </w:rPr>
        <w:t>7. The following hospitality may not be offered: for example, sports and leisure events/activities, entertainment, payment for</w:t>
      </w:r>
      <w:r w:rsidRPr="007B7C7E">
        <w:rPr>
          <w:i/>
          <w:lang w:bidi="en-US"/>
        </w:rPr>
        <w:t xml:space="preserve"> spa</w:t>
      </w:r>
      <w:r w:rsidRPr="007B7C7E">
        <w:rPr>
          <w:lang w:bidi="en-US"/>
        </w:rPr>
        <w:t xml:space="preserve"> and body treatment procedures, excursions, stays in resorts and recreation areas, payment of expenses for HC</w:t>
      </w:r>
      <w:r w:rsidR="00615DDD">
        <w:rPr>
          <w:lang w:bidi="en-US"/>
        </w:rPr>
        <w:t>S</w:t>
      </w:r>
      <w:r w:rsidRPr="007B7C7E">
        <w:rPr>
          <w:lang w:bidi="en-US"/>
        </w:rPr>
        <w:t xml:space="preserve"> accompanying persons, accommodation/daily allowance, other similar hospitality. The examples given in this paragraph are not exhaustive.</w:t>
      </w:r>
    </w:p>
    <w:p w14:paraId="6CBD3F71" w14:textId="77777777" w:rsidR="00D044E2" w:rsidRPr="007B7C7E" w:rsidRDefault="00D044E2" w:rsidP="000E74D5">
      <w:pPr>
        <w:jc w:val="both"/>
        <w:rPr>
          <w:rFonts w:asciiTheme="minorHAnsi" w:hAnsiTheme="minorHAnsi" w:cstheme="minorHAnsi"/>
          <w:sz w:val="18"/>
          <w:szCs w:val="18"/>
        </w:rPr>
      </w:pPr>
      <w:r w:rsidRPr="007B7C7E">
        <w:rPr>
          <w:lang w:bidi="en-US"/>
        </w:rPr>
        <w:lastRenderedPageBreak/>
        <w:t>8. Representatives of HC</w:t>
      </w:r>
      <w:r w:rsidR="00615DDD">
        <w:rPr>
          <w:lang w:bidi="en-US"/>
        </w:rPr>
        <w:t>S</w:t>
      </w:r>
      <w:r w:rsidRPr="007B7C7E">
        <w:rPr>
          <w:lang w:bidi="en-US"/>
        </w:rPr>
        <w:t xml:space="preserve"> and PO are not allowed to be invited to corporate events (events that are not related to the dissemination of medical information, such as anniversary events of Producers, events for cooperation partners and similar corporate events before Christmas, etc.).</w:t>
      </w:r>
    </w:p>
    <w:p w14:paraId="3337D540" w14:textId="77777777" w:rsidR="00D044E2" w:rsidRPr="007B7C7E" w:rsidRDefault="00D044E2" w:rsidP="000E74D5">
      <w:pPr>
        <w:jc w:val="both"/>
        <w:rPr>
          <w:rFonts w:asciiTheme="minorHAnsi" w:hAnsiTheme="minorHAnsi" w:cstheme="minorHAnsi"/>
          <w:b/>
          <w:spacing w:val="-1"/>
        </w:rPr>
      </w:pPr>
      <w:r w:rsidRPr="007B7C7E">
        <w:rPr>
          <w:b/>
          <w:lang w:bidi="en-US"/>
        </w:rPr>
        <w:t>Section 11. Prohibition of Gifts</w:t>
      </w:r>
    </w:p>
    <w:p w14:paraId="7FFCD42F" w14:textId="77777777" w:rsidR="00494A87" w:rsidRPr="007B7C7E" w:rsidRDefault="00D044E2" w:rsidP="000E74D5">
      <w:pPr>
        <w:jc w:val="both"/>
        <w:rPr>
          <w:rFonts w:asciiTheme="minorHAnsi" w:hAnsiTheme="minorHAnsi" w:cstheme="minorHAnsi"/>
        </w:rPr>
      </w:pPr>
      <w:r w:rsidRPr="007B7C7E">
        <w:rPr>
          <w:spacing w:val="-1"/>
          <w:lang w:bidi="en-US"/>
        </w:rPr>
        <w:t>1. It is forbidden to supply, offer or promise any gifts, material benefits or benefits for personal use to representatives of HC</w:t>
      </w:r>
      <w:r w:rsidR="00615DDD">
        <w:rPr>
          <w:spacing w:val="-1"/>
          <w:lang w:bidi="en-US"/>
        </w:rPr>
        <w:t>S</w:t>
      </w:r>
      <w:r w:rsidRPr="007B7C7E">
        <w:rPr>
          <w:spacing w:val="-1"/>
          <w:lang w:bidi="en-US"/>
        </w:rPr>
        <w:t>, HCO or PO and their family members, in particular: tickets for entertainment and sports events, alcoholic beverages, cigarettes, money, gift cards, computers, furniture, phones, TV, other similar benefits</w:t>
      </w:r>
      <w:r w:rsidR="00615DDD" w:rsidRPr="00615DDD">
        <w:rPr>
          <w:spacing w:val="-1"/>
          <w:lang w:bidi="en-US"/>
        </w:rPr>
        <w:t>.</w:t>
      </w:r>
      <w:r w:rsidR="00D80313" w:rsidRPr="007B7C7E">
        <w:rPr>
          <w:lang w:bidi="en-US"/>
        </w:rPr>
        <w:t xml:space="preserve"> The examples given in this paragraph are not exhaustive.</w:t>
      </w:r>
    </w:p>
    <w:p w14:paraId="21650A69" w14:textId="77777777" w:rsidR="00494A87" w:rsidRPr="007B7C7E" w:rsidRDefault="00D80313" w:rsidP="000E74D5">
      <w:pPr>
        <w:jc w:val="both"/>
        <w:rPr>
          <w:rFonts w:asciiTheme="minorHAnsi" w:hAnsiTheme="minorHAnsi" w:cstheme="minorHAnsi"/>
          <w:spacing w:val="-1"/>
        </w:rPr>
      </w:pPr>
      <w:r w:rsidRPr="007B7C7E">
        <w:rPr>
          <w:lang w:bidi="en-US"/>
        </w:rPr>
        <w:t>2. When advertising medicines, the advertiser and the distributor of the advertisement may supply and the specialist may only accept educational materials, which are directly intended for the education of HC</w:t>
      </w:r>
      <w:r w:rsidR="00615DDD">
        <w:rPr>
          <w:lang w:bidi="en-US"/>
        </w:rPr>
        <w:t>S</w:t>
      </w:r>
      <w:r w:rsidRPr="007B7C7E">
        <w:rPr>
          <w:lang w:bidi="en-US"/>
        </w:rPr>
        <w:t xml:space="preserve"> and the value of which does not exceed EUR 10 (excluding VAT).</w:t>
      </w:r>
    </w:p>
    <w:p w14:paraId="3C4D1105" w14:textId="77777777" w:rsidR="00D80313" w:rsidRPr="007B7C7E" w:rsidRDefault="00D80313" w:rsidP="000E74D5">
      <w:pPr>
        <w:jc w:val="both"/>
        <w:rPr>
          <w:rFonts w:asciiTheme="minorHAnsi" w:hAnsiTheme="minorHAnsi" w:cstheme="minorHAnsi"/>
          <w:spacing w:val="-1"/>
        </w:rPr>
      </w:pPr>
      <w:r w:rsidRPr="007B7C7E">
        <w:rPr>
          <w:spacing w:val="-1"/>
          <w:lang w:bidi="en-US"/>
        </w:rPr>
        <w:t>3. Producers may only provide stationery (pens) and/or sticky notes with the company logo at an Event organised by the company (Producer). These products do not include a specific product brand and are not expensive. Companies cannot distribute stationery or sticky notes on exhibition stands. Pens or sticky notes included in conference kits for the participants may not bear a specific brand (neither product, nor company).</w:t>
      </w:r>
    </w:p>
    <w:p w14:paraId="7392D377" w14:textId="77777777" w:rsidR="007B7A9F" w:rsidRPr="007B7C7E" w:rsidRDefault="007B7A9F" w:rsidP="000E74D5">
      <w:pPr>
        <w:jc w:val="both"/>
        <w:rPr>
          <w:rFonts w:asciiTheme="minorHAnsi" w:hAnsiTheme="minorHAnsi" w:cstheme="minorHAnsi"/>
          <w:b/>
          <w:bCs/>
          <w:spacing w:val="-1"/>
        </w:rPr>
      </w:pPr>
      <w:r w:rsidRPr="007B7C7E">
        <w:rPr>
          <w:b/>
          <w:spacing w:val="-1"/>
          <w:lang w:bidi="en-US"/>
        </w:rPr>
        <w:t>Section 12 Donations and grants (targeted support)</w:t>
      </w:r>
    </w:p>
    <w:p w14:paraId="62C77696" w14:textId="77777777" w:rsidR="00881AFF" w:rsidRPr="007B7C7E" w:rsidRDefault="007B7A9F" w:rsidP="000E74D5">
      <w:pPr>
        <w:jc w:val="both"/>
        <w:rPr>
          <w:rFonts w:asciiTheme="minorHAnsi" w:hAnsiTheme="minorHAnsi" w:cstheme="minorHAnsi"/>
        </w:rPr>
      </w:pPr>
      <w:r w:rsidRPr="007B7C7E">
        <w:rPr>
          <w:lang w:bidi="en-US"/>
        </w:rPr>
        <w:t>1. It is allowed to donate:</w:t>
      </w:r>
    </w:p>
    <w:p w14:paraId="191D4A29" w14:textId="77777777" w:rsidR="00881AFF" w:rsidRPr="007B7C7E" w:rsidRDefault="007B7A9F" w:rsidP="000E74D5">
      <w:pPr>
        <w:jc w:val="both"/>
        <w:rPr>
          <w:rFonts w:asciiTheme="minorHAnsi" w:hAnsiTheme="minorHAnsi" w:cstheme="minorHAnsi"/>
        </w:rPr>
      </w:pPr>
      <w:r w:rsidRPr="007B7C7E">
        <w:rPr>
          <w:lang w:bidi="en-US"/>
        </w:rPr>
        <w:t>2.1. only for legal entities;</w:t>
      </w:r>
    </w:p>
    <w:p w14:paraId="13B2CF6E" w14:textId="77777777" w:rsidR="00881AFF" w:rsidRPr="007B7C7E" w:rsidRDefault="007B7A9F" w:rsidP="000E74D5">
      <w:pPr>
        <w:jc w:val="both"/>
        <w:rPr>
          <w:rFonts w:asciiTheme="minorHAnsi" w:hAnsiTheme="minorHAnsi" w:cstheme="minorHAnsi"/>
        </w:rPr>
      </w:pPr>
      <w:r w:rsidRPr="007B7C7E">
        <w:rPr>
          <w:lang w:bidi="en-US"/>
        </w:rPr>
        <w:t>2.2. only for things and Events which have a scientific and/or medical purpose and which directly promote and improve health care, scientific research or education;</w:t>
      </w:r>
    </w:p>
    <w:p w14:paraId="4DCC5BD8" w14:textId="77777777" w:rsidR="00881AFF" w:rsidRPr="007B7C7E" w:rsidRDefault="007B7A9F" w:rsidP="000E74D5">
      <w:pPr>
        <w:jc w:val="both"/>
        <w:rPr>
          <w:rFonts w:asciiTheme="minorHAnsi" w:hAnsiTheme="minorHAnsi" w:cstheme="minorHAnsi"/>
        </w:rPr>
      </w:pPr>
      <w:r w:rsidRPr="007B7C7E">
        <w:rPr>
          <w:lang w:bidi="en-US"/>
        </w:rPr>
        <w:t>2.3. the donation and grant may not bring personal benefits to the representatives of the sponsor;</w:t>
      </w:r>
    </w:p>
    <w:p w14:paraId="33EC3FBE" w14:textId="77777777" w:rsidR="00881AFF" w:rsidRPr="007B7C7E" w:rsidRDefault="007B7A9F" w:rsidP="000E74D5">
      <w:pPr>
        <w:jc w:val="both"/>
        <w:rPr>
          <w:rFonts w:asciiTheme="minorHAnsi" w:hAnsiTheme="minorHAnsi" w:cstheme="minorHAnsi"/>
        </w:rPr>
      </w:pPr>
      <w:r w:rsidRPr="007B7C7E">
        <w:rPr>
          <w:lang w:bidi="en-US"/>
        </w:rPr>
        <w:t>2.4. the donation and grant may not be related to the promotion of the prescription or use of the medicinal product by the respective Producer.</w:t>
      </w:r>
    </w:p>
    <w:p w14:paraId="09562070" w14:textId="77777777" w:rsidR="00881AFF" w:rsidRPr="007B7C7E" w:rsidRDefault="007B7A9F" w:rsidP="000E74D5">
      <w:pPr>
        <w:jc w:val="both"/>
        <w:rPr>
          <w:rFonts w:asciiTheme="minorHAnsi" w:hAnsiTheme="minorHAnsi" w:cstheme="minorHAnsi"/>
        </w:rPr>
      </w:pPr>
      <w:r w:rsidRPr="007B7C7E">
        <w:rPr>
          <w:lang w:bidi="en-US"/>
        </w:rPr>
        <w:t>3. The basis for reviewing the issue and making a decision on granting a donation and grant is a request (submission) of a legal person with justification for the necessity of support and benefits for the development of science and medicine, improvement of patient care.</w:t>
      </w:r>
    </w:p>
    <w:p w14:paraId="482715F2" w14:textId="77777777" w:rsidR="007B7A9F" w:rsidRPr="007B7C7E" w:rsidRDefault="007B7A9F" w:rsidP="000E74D5">
      <w:pPr>
        <w:jc w:val="both"/>
        <w:rPr>
          <w:rFonts w:asciiTheme="minorHAnsi" w:hAnsiTheme="minorHAnsi" w:cstheme="minorHAnsi"/>
        </w:rPr>
      </w:pPr>
      <w:r w:rsidRPr="007B7C7E">
        <w:rPr>
          <w:lang w:bidi="en-US"/>
        </w:rPr>
        <w:t>4. Producers must disclose information about donations, grants or material benefits they have provided.</w:t>
      </w:r>
    </w:p>
    <w:p w14:paraId="1E81B3AB" w14:textId="77777777" w:rsidR="00881AFF" w:rsidRPr="007B7C7E" w:rsidRDefault="00881AFF" w:rsidP="000E74D5">
      <w:pPr>
        <w:jc w:val="both"/>
        <w:rPr>
          <w:rFonts w:asciiTheme="minorHAnsi" w:hAnsiTheme="minorHAnsi" w:cstheme="minorHAnsi"/>
          <w:i/>
          <w:iCs/>
        </w:rPr>
      </w:pPr>
      <w:r w:rsidRPr="007B7C7E">
        <w:rPr>
          <w:i/>
          <w:lang w:bidi="en-US"/>
        </w:rPr>
        <w:t xml:space="preserve">* Explanation. This section of the Regulations does not apply to the sponsorship of healthcare </w:t>
      </w:r>
      <w:r w:rsidR="00615DDD">
        <w:rPr>
          <w:i/>
          <w:lang w:bidi="en-US"/>
        </w:rPr>
        <w:t>specialists</w:t>
      </w:r>
      <w:r w:rsidRPr="007B7C7E">
        <w:rPr>
          <w:i/>
          <w:lang w:bidi="en-US"/>
        </w:rPr>
        <w:t xml:space="preserve"> </w:t>
      </w:r>
      <w:r w:rsidR="00615DDD">
        <w:rPr>
          <w:i/>
          <w:lang w:bidi="en-US"/>
        </w:rPr>
        <w:t xml:space="preserve">(HCS) </w:t>
      </w:r>
      <w:r w:rsidRPr="007B7C7E">
        <w:rPr>
          <w:i/>
          <w:lang w:bidi="en-US"/>
        </w:rPr>
        <w:t>and representatives of patients' organi</w:t>
      </w:r>
      <w:r w:rsidR="00615DDD">
        <w:rPr>
          <w:i/>
          <w:lang w:bidi="en-US"/>
        </w:rPr>
        <w:t>z</w:t>
      </w:r>
      <w:r w:rsidRPr="007B7C7E">
        <w:rPr>
          <w:i/>
          <w:lang w:bidi="en-US"/>
        </w:rPr>
        <w:t xml:space="preserve">ations </w:t>
      </w:r>
      <w:r w:rsidR="00615DDD">
        <w:rPr>
          <w:i/>
          <w:lang w:bidi="en-US"/>
        </w:rPr>
        <w:t xml:space="preserve">(PO) </w:t>
      </w:r>
      <w:r w:rsidRPr="007B7C7E">
        <w:rPr>
          <w:i/>
          <w:lang w:bidi="en-US"/>
        </w:rPr>
        <w:t>to participate in events.</w:t>
      </w:r>
    </w:p>
    <w:p w14:paraId="70D656EC" w14:textId="77777777" w:rsidR="00881AFF" w:rsidRPr="007B7C7E" w:rsidRDefault="007B7A9F" w:rsidP="000E74D5">
      <w:pPr>
        <w:jc w:val="both"/>
        <w:rPr>
          <w:rFonts w:asciiTheme="minorHAnsi" w:hAnsiTheme="minorHAnsi" w:cstheme="minorHAnsi"/>
          <w:sz w:val="17"/>
          <w:szCs w:val="17"/>
        </w:rPr>
      </w:pPr>
      <w:r w:rsidRPr="007B7C7E">
        <w:rPr>
          <w:b/>
          <w:lang w:bidi="en-US"/>
        </w:rPr>
        <w:t>Section</w:t>
      </w:r>
      <w:r w:rsidR="000E74D5">
        <w:rPr>
          <w:i/>
          <w:sz w:val="24"/>
          <w:lang w:bidi="en-US"/>
        </w:rPr>
        <w:t> </w:t>
      </w:r>
      <w:r w:rsidRPr="007B7C7E">
        <w:rPr>
          <w:b/>
          <w:lang w:bidi="en-US"/>
        </w:rPr>
        <w:t>13. Support and sponsorship</w:t>
      </w:r>
    </w:p>
    <w:p w14:paraId="69D19797" w14:textId="77777777" w:rsidR="00881AFF" w:rsidRPr="007B7C7E" w:rsidRDefault="007B7A9F" w:rsidP="000E74D5">
      <w:pPr>
        <w:jc w:val="both"/>
        <w:rPr>
          <w:rFonts w:asciiTheme="minorHAnsi" w:hAnsiTheme="minorHAnsi" w:cstheme="minorHAnsi"/>
        </w:rPr>
      </w:pPr>
      <w:r w:rsidRPr="007B7C7E">
        <w:rPr>
          <w:spacing w:val="1"/>
          <w:lang w:bidi="en-US"/>
        </w:rPr>
        <w:t>1. HC</w:t>
      </w:r>
      <w:r w:rsidR="00DF7664">
        <w:rPr>
          <w:spacing w:val="1"/>
          <w:lang w:bidi="en-US"/>
        </w:rPr>
        <w:t>S</w:t>
      </w:r>
      <w:r w:rsidRPr="007B7C7E">
        <w:rPr>
          <w:spacing w:val="1"/>
          <w:lang w:bidi="en-US"/>
        </w:rPr>
        <w:t xml:space="preserve"> participation in the Events may only be supported if:</w:t>
      </w:r>
    </w:p>
    <w:p w14:paraId="28B15F70" w14:textId="77777777" w:rsidR="00881AFF" w:rsidRPr="007B7C7E" w:rsidRDefault="007B7A9F" w:rsidP="000E74D5">
      <w:pPr>
        <w:jc w:val="both"/>
        <w:rPr>
          <w:rFonts w:asciiTheme="minorHAnsi" w:hAnsiTheme="minorHAnsi" w:cstheme="minorHAnsi"/>
        </w:rPr>
      </w:pPr>
      <w:r w:rsidRPr="007B7C7E">
        <w:rPr>
          <w:lang w:bidi="en-US"/>
        </w:rPr>
        <w:t>1.1. the participant directly represents the sector or sectors corresponding to the theme of the event;</w:t>
      </w:r>
    </w:p>
    <w:p w14:paraId="37A70E86" w14:textId="77777777" w:rsidR="00881AFF" w:rsidRPr="007B7C7E" w:rsidRDefault="007B7A9F" w:rsidP="000E74D5">
      <w:pPr>
        <w:jc w:val="both"/>
        <w:rPr>
          <w:rFonts w:asciiTheme="minorHAnsi" w:hAnsiTheme="minorHAnsi" w:cstheme="minorHAnsi"/>
        </w:rPr>
      </w:pPr>
      <w:r w:rsidRPr="007B7C7E">
        <w:rPr>
          <w:lang w:bidi="en-US"/>
        </w:rPr>
        <w:t>1.2. the participant can ensure the further use of the knowledge gained in the event in practice.</w:t>
      </w:r>
    </w:p>
    <w:p w14:paraId="1EE5056C" w14:textId="77777777" w:rsidR="00881AFF" w:rsidRPr="007B7C7E" w:rsidRDefault="002469FC" w:rsidP="000E74D5">
      <w:pPr>
        <w:jc w:val="both"/>
        <w:rPr>
          <w:rFonts w:asciiTheme="minorHAnsi" w:hAnsiTheme="minorHAnsi" w:cstheme="minorHAnsi"/>
        </w:rPr>
      </w:pPr>
      <w:r w:rsidRPr="007B7C7E">
        <w:rPr>
          <w:lang w:bidi="en-US"/>
        </w:rPr>
        <w:t>2. HC</w:t>
      </w:r>
      <w:r w:rsidR="00DF7664">
        <w:rPr>
          <w:lang w:bidi="en-US"/>
        </w:rPr>
        <w:t>S</w:t>
      </w:r>
      <w:r w:rsidRPr="007B7C7E">
        <w:rPr>
          <w:lang w:bidi="en-US"/>
        </w:rPr>
        <w:t xml:space="preserve"> support for participation in events must not be linked to the promotion of prescribing and use of the supporter’s medicine.</w:t>
      </w:r>
    </w:p>
    <w:p w14:paraId="530DB26F" w14:textId="77777777" w:rsidR="000E74D5" w:rsidRDefault="002469FC" w:rsidP="000E74D5">
      <w:pPr>
        <w:jc w:val="both"/>
        <w:rPr>
          <w:lang w:bidi="en-US"/>
        </w:rPr>
      </w:pPr>
      <w:r w:rsidRPr="007B7C7E">
        <w:rPr>
          <w:lang w:bidi="en-US"/>
        </w:rPr>
        <w:t>3. The basis for examining the issue and making a decision on granting support for participation in the Events is a request (submission) of the representative of HC</w:t>
      </w:r>
      <w:r w:rsidR="00DF7664">
        <w:rPr>
          <w:lang w:bidi="en-US"/>
        </w:rPr>
        <w:t>S</w:t>
      </w:r>
      <w:r w:rsidRPr="007B7C7E">
        <w:rPr>
          <w:lang w:bidi="en-US"/>
        </w:rPr>
        <w:t xml:space="preserve"> and PO with a justification of the need for support and information on further use of the acquired knowledge in practice.</w:t>
      </w:r>
    </w:p>
    <w:p w14:paraId="4F8340FD" w14:textId="77777777" w:rsidR="000E74D5" w:rsidRDefault="000E74D5">
      <w:pPr>
        <w:rPr>
          <w:lang w:bidi="en-US"/>
        </w:rPr>
      </w:pPr>
      <w:r>
        <w:rPr>
          <w:lang w:bidi="en-US"/>
        </w:rPr>
        <w:br w:type="page"/>
      </w:r>
    </w:p>
    <w:p w14:paraId="7960FCA1" w14:textId="77777777" w:rsidR="00881AFF" w:rsidRPr="007B7C7E" w:rsidRDefault="00881AFF" w:rsidP="000E74D5">
      <w:pPr>
        <w:jc w:val="both"/>
        <w:rPr>
          <w:rFonts w:asciiTheme="minorHAnsi" w:hAnsiTheme="minorHAnsi" w:cstheme="minorHAnsi"/>
        </w:rPr>
      </w:pPr>
    </w:p>
    <w:p w14:paraId="18C89AB6" w14:textId="77777777" w:rsidR="00881AFF" w:rsidRPr="007B7C7E" w:rsidRDefault="002469FC" w:rsidP="000E74D5">
      <w:pPr>
        <w:jc w:val="both"/>
        <w:rPr>
          <w:rFonts w:asciiTheme="minorHAnsi" w:hAnsiTheme="minorHAnsi" w:cstheme="minorHAnsi"/>
        </w:rPr>
      </w:pPr>
      <w:r w:rsidRPr="007B7C7E">
        <w:rPr>
          <w:lang w:bidi="en-US"/>
        </w:rPr>
        <w:t>4. Sponsorship applies to legal entities</w:t>
      </w:r>
      <w:r w:rsidR="000E74D5">
        <w:rPr>
          <w:i/>
          <w:sz w:val="24"/>
          <w:lang w:bidi="en-US"/>
        </w:rPr>
        <w:t> </w:t>
      </w:r>
      <w:r w:rsidRPr="007B7C7E">
        <w:rPr>
          <w:lang w:bidi="en-US"/>
        </w:rPr>
        <w:t>- HC</w:t>
      </w:r>
      <w:r w:rsidR="00DF7664">
        <w:rPr>
          <w:lang w:bidi="en-US"/>
        </w:rPr>
        <w:t>O</w:t>
      </w:r>
      <w:r w:rsidRPr="007B7C7E">
        <w:rPr>
          <w:lang w:bidi="en-US"/>
        </w:rPr>
        <w:t xml:space="preserve"> and PO.</w:t>
      </w:r>
    </w:p>
    <w:p w14:paraId="62E3F315" w14:textId="77777777" w:rsidR="00881AFF" w:rsidRPr="007B7C7E" w:rsidRDefault="002469FC" w:rsidP="000E74D5">
      <w:pPr>
        <w:jc w:val="both"/>
        <w:rPr>
          <w:rFonts w:asciiTheme="minorHAnsi" w:hAnsiTheme="minorHAnsi" w:cstheme="minorHAnsi"/>
          <w:b/>
        </w:rPr>
      </w:pPr>
      <w:r w:rsidRPr="007B7C7E">
        <w:rPr>
          <w:b/>
          <w:lang w:bidi="en-US"/>
        </w:rPr>
        <w:t>Section 15. Contracted Services</w:t>
      </w:r>
    </w:p>
    <w:p w14:paraId="5DF16AF5" w14:textId="77777777" w:rsidR="00881AFF" w:rsidRPr="007B7C7E" w:rsidRDefault="002469FC" w:rsidP="000E74D5">
      <w:pPr>
        <w:jc w:val="both"/>
        <w:rPr>
          <w:rFonts w:asciiTheme="minorHAnsi" w:hAnsiTheme="minorHAnsi" w:cstheme="minorHAnsi"/>
        </w:rPr>
      </w:pPr>
      <w:r w:rsidRPr="007B7C7E">
        <w:rPr>
          <w:lang w:bidi="en-US"/>
        </w:rPr>
        <w:t>1. Cooperation between Producers and HC</w:t>
      </w:r>
      <w:r w:rsidR="00DF7664">
        <w:rPr>
          <w:lang w:bidi="en-US"/>
        </w:rPr>
        <w:t>S</w:t>
      </w:r>
      <w:r w:rsidRPr="007B7C7E">
        <w:rPr>
          <w:lang w:bidi="en-US"/>
        </w:rPr>
        <w:t xml:space="preserve"> in clinical, epidemiological and genetic research is essential for the development of new medicines, the acquisition of in-depth knowledge about medicines and the acquisition of knowledge about the optimal use of medicines in the interests of patients. All studies should follow the following principles:</w:t>
      </w:r>
    </w:p>
    <w:p w14:paraId="11A11C49" w14:textId="77777777" w:rsidR="00881AFF" w:rsidRPr="007B7C7E" w:rsidRDefault="002469FC" w:rsidP="000E74D5">
      <w:pPr>
        <w:jc w:val="both"/>
        <w:rPr>
          <w:rFonts w:asciiTheme="minorHAnsi" w:hAnsiTheme="minorHAnsi" w:cstheme="minorHAnsi"/>
        </w:rPr>
      </w:pPr>
      <w:r w:rsidRPr="007B7C7E">
        <w:rPr>
          <w:lang w:bidi="en-US"/>
        </w:rPr>
        <w:t>1.1. The Producer may only financially support, assist in organising and otherwise promote (including the payment of remuneration to HC</w:t>
      </w:r>
      <w:r w:rsidR="00DF7664">
        <w:rPr>
          <w:lang w:bidi="en-US"/>
        </w:rPr>
        <w:t>S</w:t>
      </w:r>
      <w:r w:rsidRPr="007B7C7E">
        <w:rPr>
          <w:lang w:bidi="en-US"/>
        </w:rPr>
        <w:t xml:space="preserve"> for work during the study) studies registered with the State Agency of Medicines (SAM). In such cases, the Producer's contribution must be clearly indicated in the documentation submitted to the SAM, distributed to the study participants, research objects or otherwise distributed;</w:t>
      </w:r>
    </w:p>
    <w:p w14:paraId="6CC6E9D8" w14:textId="77777777" w:rsidR="00881AFF" w:rsidRPr="007B7C7E" w:rsidRDefault="002469FC" w:rsidP="000E74D5">
      <w:pPr>
        <w:jc w:val="both"/>
        <w:rPr>
          <w:rFonts w:asciiTheme="minorHAnsi" w:hAnsiTheme="minorHAnsi" w:cstheme="minorHAnsi"/>
        </w:rPr>
      </w:pPr>
      <w:r w:rsidRPr="007B7C7E">
        <w:rPr>
          <w:lang w:bidi="en-US"/>
        </w:rPr>
        <w:t>1.2. the remuneration to HC</w:t>
      </w:r>
      <w:r w:rsidR="00DF7664">
        <w:rPr>
          <w:lang w:bidi="en-US"/>
        </w:rPr>
        <w:t>S</w:t>
      </w:r>
      <w:r w:rsidRPr="007B7C7E">
        <w:rPr>
          <w:lang w:bidi="en-US"/>
        </w:rPr>
        <w:t>, whatever it may be, must be linked to the work done;</w:t>
      </w:r>
    </w:p>
    <w:p w14:paraId="2605EEB1" w14:textId="77777777" w:rsidR="00881AFF" w:rsidRPr="007B7C7E" w:rsidRDefault="002469FC" w:rsidP="000E74D5">
      <w:pPr>
        <w:jc w:val="both"/>
        <w:rPr>
          <w:rFonts w:asciiTheme="minorHAnsi" w:hAnsiTheme="minorHAnsi" w:cstheme="minorHAnsi"/>
        </w:rPr>
      </w:pPr>
      <w:r w:rsidRPr="007B7C7E">
        <w:rPr>
          <w:lang w:bidi="en-US"/>
        </w:rPr>
        <w:t>1.3. the remuneration must not be linked to any expected results of the study.</w:t>
      </w:r>
    </w:p>
    <w:p w14:paraId="4CA2D371" w14:textId="77777777" w:rsidR="005D6040" w:rsidRPr="007B7C7E" w:rsidRDefault="002469FC" w:rsidP="000E74D5">
      <w:pPr>
        <w:jc w:val="both"/>
        <w:rPr>
          <w:rFonts w:asciiTheme="minorHAnsi" w:hAnsiTheme="minorHAnsi" w:cstheme="minorHAnsi"/>
          <w:spacing w:val="-4"/>
        </w:rPr>
      </w:pPr>
      <w:r w:rsidRPr="007B7C7E">
        <w:rPr>
          <w:lang w:bidi="en-US"/>
        </w:rPr>
        <w:t>2. The HC</w:t>
      </w:r>
      <w:r w:rsidR="00DF7664">
        <w:rPr>
          <w:lang w:bidi="en-US"/>
        </w:rPr>
        <w:t>S</w:t>
      </w:r>
      <w:r w:rsidRPr="007B7C7E">
        <w:rPr>
          <w:lang w:bidi="en-US"/>
        </w:rPr>
        <w:t xml:space="preserve"> can receive remuneration for preparing and giving lectures and acting as a consultant and expert to the industry. Remuneration for the work of HC</w:t>
      </w:r>
      <w:r w:rsidR="00DF7664">
        <w:rPr>
          <w:lang w:bidi="en-US"/>
        </w:rPr>
        <w:t>S</w:t>
      </w:r>
      <w:r w:rsidRPr="007B7C7E">
        <w:rPr>
          <w:lang w:bidi="en-US"/>
        </w:rPr>
        <w:t xml:space="preserve"> must be directly related and appropriate to the work performed and its amount.</w:t>
      </w:r>
    </w:p>
    <w:p w14:paraId="1D967968" w14:textId="77777777" w:rsidR="00625D9D" w:rsidRPr="007B7C7E" w:rsidRDefault="00625D9D" w:rsidP="000E74D5">
      <w:pPr>
        <w:jc w:val="both"/>
        <w:rPr>
          <w:rFonts w:asciiTheme="minorHAnsi" w:hAnsiTheme="minorHAnsi" w:cstheme="minorHAnsi"/>
        </w:rPr>
      </w:pPr>
      <w:r w:rsidRPr="007B7C7E">
        <w:rPr>
          <w:lang w:bidi="en-US"/>
        </w:rPr>
        <w:t>3. Limited market research (such as one-off phone interviews or mail/e-mail/internet questionnaires) is excluded from the scope of Section 15, provided that the consultations of HC</w:t>
      </w:r>
      <w:r w:rsidR="00DF7664">
        <w:rPr>
          <w:lang w:bidi="en-US"/>
        </w:rPr>
        <w:t>S</w:t>
      </w:r>
      <w:r w:rsidRPr="007B7C7E">
        <w:rPr>
          <w:lang w:bidi="en-US"/>
        </w:rPr>
        <w:t>, HCO or PO representative are not used in a recurring manner and that the remuneration is minimal, including costs up to EUR 50, including taxes.</w:t>
      </w:r>
    </w:p>
    <w:p w14:paraId="30BC5F14" w14:textId="77777777" w:rsidR="00625D9D" w:rsidRPr="007B7C7E" w:rsidRDefault="00625D9D" w:rsidP="000E74D5">
      <w:pPr>
        <w:jc w:val="both"/>
        <w:rPr>
          <w:rFonts w:asciiTheme="minorHAnsi" w:hAnsiTheme="minorHAnsi" w:cstheme="minorHAnsi"/>
          <w:b/>
          <w:bCs/>
        </w:rPr>
      </w:pPr>
      <w:r w:rsidRPr="007B7C7E">
        <w:rPr>
          <w:b/>
          <w:lang w:bidi="en-US"/>
        </w:rPr>
        <w:t>Section 17. Informational or Educational Materials, and Items of Medical Utility</w:t>
      </w:r>
    </w:p>
    <w:p w14:paraId="45984301" w14:textId="77777777" w:rsidR="00FE2B59" w:rsidRPr="007B7C7E" w:rsidRDefault="00FE2B59" w:rsidP="000E74D5">
      <w:pPr>
        <w:jc w:val="both"/>
        <w:rPr>
          <w:rFonts w:asciiTheme="minorHAnsi" w:hAnsiTheme="minorHAnsi" w:cstheme="minorHAnsi"/>
          <w:b/>
          <w:bCs/>
        </w:rPr>
      </w:pPr>
      <w:r w:rsidRPr="007B7C7E">
        <w:rPr>
          <w:lang w:bidi="en-US"/>
        </w:rPr>
        <w:t>The value of informative or educational materials may not exceed EUR 10 (excluding VAT).</w:t>
      </w:r>
    </w:p>
    <w:p w14:paraId="7D4F54CD" w14:textId="77777777" w:rsidR="002469FC" w:rsidRPr="007B7C7E" w:rsidRDefault="002469FC" w:rsidP="000E74D5">
      <w:pPr>
        <w:jc w:val="both"/>
        <w:rPr>
          <w:rFonts w:asciiTheme="minorHAnsi" w:hAnsiTheme="minorHAnsi" w:cstheme="minorHAnsi"/>
          <w:b/>
          <w:bCs/>
        </w:rPr>
      </w:pPr>
      <w:r w:rsidRPr="007B7C7E">
        <w:rPr>
          <w:b/>
          <w:lang w:bidi="en-US"/>
        </w:rPr>
        <w:t>Section 21.3. Cooperation with Patient Organisations</w:t>
      </w:r>
    </w:p>
    <w:p w14:paraId="67753BB3" w14:textId="77777777" w:rsidR="002469FC" w:rsidRPr="007B7C7E" w:rsidRDefault="002469FC" w:rsidP="000E74D5">
      <w:pPr>
        <w:jc w:val="both"/>
        <w:rPr>
          <w:rFonts w:asciiTheme="minorHAnsi" w:hAnsiTheme="minorHAnsi" w:cstheme="minorHAnsi"/>
        </w:rPr>
      </w:pPr>
      <w:r w:rsidRPr="007B7C7E">
        <w:rPr>
          <w:lang w:bidi="en-US"/>
        </w:rPr>
        <w:t>Any financial support provided (direct and indirect) to PO is considered significant. The significance of indirect support and/or non-financial support is determined by each Producer.</w:t>
      </w:r>
    </w:p>
    <w:p w14:paraId="17802C5A" w14:textId="77777777" w:rsidR="002469FC" w:rsidRPr="007B7C7E" w:rsidRDefault="002469FC" w:rsidP="00102348">
      <w:pPr>
        <w:rPr>
          <w:rFonts w:asciiTheme="minorHAnsi" w:hAnsiTheme="minorHAnsi" w:cstheme="minorHAnsi"/>
        </w:rPr>
      </w:pPr>
    </w:p>
    <w:p w14:paraId="2B3248DF" w14:textId="77777777" w:rsidR="003041B8" w:rsidRPr="007B7C7E" w:rsidRDefault="003041B8" w:rsidP="00881AFF">
      <w:pPr>
        <w:widowControl w:val="0"/>
        <w:autoSpaceDE w:val="0"/>
        <w:autoSpaceDN w:val="0"/>
        <w:adjustRightInd w:val="0"/>
        <w:spacing w:before="1" w:after="0" w:line="254" w:lineRule="exact"/>
        <w:ind w:left="111" w:right="-48"/>
        <w:jc w:val="both"/>
        <w:rPr>
          <w:rFonts w:asciiTheme="minorHAnsi" w:hAnsiTheme="minorHAnsi" w:cstheme="minorHAnsi"/>
        </w:rPr>
      </w:pPr>
    </w:p>
    <w:p w14:paraId="43225420" w14:textId="77777777" w:rsidR="005D6040" w:rsidRPr="007B7C7E" w:rsidRDefault="005D6040" w:rsidP="00881AFF">
      <w:pPr>
        <w:widowControl w:val="0"/>
        <w:autoSpaceDE w:val="0"/>
        <w:autoSpaceDN w:val="0"/>
        <w:adjustRightInd w:val="0"/>
        <w:spacing w:before="1" w:after="0" w:line="254" w:lineRule="exact"/>
        <w:ind w:left="111" w:right="-48"/>
        <w:jc w:val="both"/>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283"/>
        <w:gridCol w:w="4966"/>
      </w:tblGrid>
      <w:tr w:rsidR="00FB30D2" w:rsidRPr="007B7C7E" w14:paraId="362542E8" w14:textId="77777777" w:rsidTr="005D6040">
        <w:trPr>
          <w:jc w:val="center"/>
        </w:trPr>
        <w:tc>
          <w:tcPr>
            <w:tcW w:w="5100" w:type="dxa"/>
            <w:tcBorders>
              <w:top w:val="single" w:sz="4" w:space="0" w:color="auto"/>
            </w:tcBorders>
          </w:tcPr>
          <w:p w14:paraId="1702238C" w14:textId="77777777" w:rsidR="00FB30D2" w:rsidRPr="007B7C7E" w:rsidRDefault="00FB30D2" w:rsidP="00FB30D2">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sz w:val="22"/>
                <w:lang w:bidi="en-US"/>
              </w:rPr>
              <w:t>Imants Sinka</w:t>
            </w:r>
          </w:p>
        </w:tc>
        <w:tc>
          <w:tcPr>
            <w:tcW w:w="284" w:type="dxa"/>
          </w:tcPr>
          <w:p w14:paraId="481A761E" w14:textId="77777777" w:rsidR="00FB30D2" w:rsidRPr="007B7C7E" w:rsidRDefault="00FB30D2" w:rsidP="00881AFF">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Borders>
              <w:top w:val="single" w:sz="4" w:space="0" w:color="auto"/>
            </w:tcBorders>
          </w:tcPr>
          <w:p w14:paraId="3A3248F2" w14:textId="77777777" w:rsidR="00FB30D2" w:rsidRPr="007B7C7E" w:rsidRDefault="00FB30D2" w:rsidP="005D6040">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sz w:val="22"/>
                <w:lang w:bidi="en-US"/>
              </w:rPr>
              <w:t>Egils Jurševics</w:t>
            </w:r>
          </w:p>
        </w:tc>
      </w:tr>
      <w:tr w:rsidR="00FB30D2" w:rsidRPr="007B7C7E" w14:paraId="70B1CA28" w14:textId="77777777" w:rsidTr="005D6040">
        <w:trPr>
          <w:jc w:val="center"/>
        </w:trPr>
        <w:tc>
          <w:tcPr>
            <w:tcW w:w="5100" w:type="dxa"/>
          </w:tcPr>
          <w:p w14:paraId="4E8493B3" w14:textId="77777777" w:rsidR="00E74790" w:rsidRPr="007B7C7E" w:rsidRDefault="00FB30D2" w:rsidP="00FB30D2">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sz w:val="22"/>
                <w:lang w:bidi="en-US"/>
              </w:rPr>
              <w:t xml:space="preserve">Association of International Innovative Pharmaceuticals Producers </w:t>
            </w:r>
          </w:p>
          <w:p w14:paraId="4F231690" w14:textId="77777777" w:rsidR="00FB30D2" w:rsidRPr="007B7C7E" w:rsidRDefault="00FB30D2" w:rsidP="00FB30D2">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sz w:val="22"/>
                <w:lang w:bidi="en-US"/>
              </w:rPr>
              <w:t>Chairman of the Board of the Association</w:t>
            </w:r>
          </w:p>
        </w:tc>
        <w:tc>
          <w:tcPr>
            <w:tcW w:w="284" w:type="dxa"/>
          </w:tcPr>
          <w:p w14:paraId="102578AB" w14:textId="77777777" w:rsidR="00FB30D2" w:rsidRPr="007B7C7E" w:rsidRDefault="00FB30D2" w:rsidP="00881AFF">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Pr>
          <w:p w14:paraId="0892F03F" w14:textId="77777777" w:rsidR="00FB30D2" w:rsidRDefault="00FB30D2" w:rsidP="005D6040">
            <w:pPr>
              <w:widowControl w:val="0"/>
              <w:autoSpaceDE w:val="0"/>
              <w:autoSpaceDN w:val="0"/>
              <w:adjustRightInd w:val="0"/>
              <w:spacing w:before="1" w:line="254" w:lineRule="exact"/>
              <w:ind w:right="-48"/>
              <w:jc w:val="center"/>
              <w:rPr>
                <w:sz w:val="22"/>
                <w:lang w:bidi="en-US"/>
              </w:rPr>
            </w:pPr>
            <w:r w:rsidRPr="007B7C7E">
              <w:rPr>
                <w:sz w:val="22"/>
                <w:lang w:bidi="en-US"/>
              </w:rPr>
              <w:t>Latvian Generic Medicines Association</w:t>
            </w:r>
          </w:p>
          <w:p w14:paraId="0817563D" w14:textId="77777777" w:rsidR="00962577" w:rsidRPr="007B7C7E" w:rsidRDefault="00962577" w:rsidP="005D6040">
            <w:pPr>
              <w:widowControl w:val="0"/>
              <w:autoSpaceDE w:val="0"/>
              <w:autoSpaceDN w:val="0"/>
              <w:adjustRightInd w:val="0"/>
              <w:spacing w:before="1" w:line="254" w:lineRule="exact"/>
              <w:ind w:right="-48"/>
              <w:jc w:val="center"/>
              <w:rPr>
                <w:rFonts w:asciiTheme="minorHAnsi" w:hAnsiTheme="minorHAnsi" w:cstheme="minorHAnsi"/>
                <w:sz w:val="22"/>
                <w:szCs w:val="22"/>
              </w:rPr>
            </w:pPr>
          </w:p>
          <w:p w14:paraId="0254223A" w14:textId="77777777" w:rsidR="00FB30D2" w:rsidRPr="007B7C7E" w:rsidRDefault="00E74790" w:rsidP="005D6040">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sz w:val="22"/>
                <w:lang w:bidi="en-US"/>
              </w:rPr>
              <w:t>Chairman of the Board of the Association</w:t>
            </w:r>
          </w:p>
        </w:tc>
      </w:tr>
    </w:tbl>
    <w:p w14:paraId="6FA55E7C" w14:textId="77777777" w:rsidR="00FB30D2" w:rsidRPr="007B7C7E" w:rsidRDefault="00FB30D2" w:rsidP="00881AFF">
      <w:pPr>
        <w:widowControl w:val="0"/>
        <w:autoSpaceDE w:val="0"/>
        <w:autoSpaceDN w:val="0"/>
        <w:adjustRightInd w:val="0"/>
        <w:spacing w:before="1" w:after="0" w:line="254" w:lineRule="exact"/>
        <w:ind w:left="111" w:right="-48"/>
        <w:jc w:val="both"/>
        <w:rPr>
          <w:rFonts w:asciiTheme="minorHAnsi" w:hAnsiTheme="minorHAnsi" w:cstheme="minorHAnsi"/>
        </w:rPr>
      </w:pPr>
    </w:p>
    <w:sectPr w:rsidR="00FB30D2" w:rsidRPr="007B7C7E" w:rsidSect="008C1E9E">
      <w:pgSz w:w="11920" w:h="16840"/>
      <w:pgMar w:top="460" w:right="740" w:bottom="2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CBC"/>
    <w:multiLevelType w:val="hybridMultilevel"/>
    <w:tmpl w:val="AA94792A"/>
    <w:lvl w:ilvl="0" w:tplc="98C09F0A">
      <w:numFmt w:val="bullet"/>
      <w:lvlText w:val="-"/>
      <w:lvlJc w:val="left"/>
      <w:pPr>
        <w:ind w:left="471" w:hanging="360"/>
      </w:pPr>
      <w:rPr>
        <w:rFonts w:ascii="Times New Roman" w:eastAsia="Times New Roman" w:hAnsi="Times New Roman" w:cs="Times New Roman"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 w15:restartNumberingAfterBreak="0">
    <w:nsid w:val="63557155"/>
    <w:multiLevelType w:val="hybridMultilevel"/>
    <w:tmpl w:val="348EA49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num w:numId="1" w16cid:durableId="1546794872">
    <w:abstractNumId w:val="1"/>
  </w:num>
  <w:num w:numId="2" w16cid:durableId="1541043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2F"/>
    <w:rsid w:val="000232AC"/>
    <w:rsid w:val="0003693E"/>
    <w:rsid w:val="00037C85"/>
    <w:rsid w:val="00074210"/>
    <w:rsid w:val="00083CA3"/>
    <w:rsid w:val="000A2E71"/>
    <w:rsid w:val="000D3E61"/>
    <w:rsid w:val="000E2743"/>
    <w:rsid w:val="000E74D5"/>
    <w:rsid w:val="00102348"/>
    <w:rsid w:val="00156461"/>
    <w:rsid w:val="00180528"/>
    <w:rsid w:val="001A5DDE"/>
    <w:rsid w:val="001D214B"/>
    <w:rsid w:val="00206024"/>
    <w:rsid w:val="00213C85"/>
    <w:rsid w:val="0023320F"/>
    <w:rsid w:val="002469FC"/>
    <w:rsid w:val="00250274"/>
    <w:rsid w:val="0026668C"/>
    <w:rsid w:val="003041B8"/>
    <w:rsid w:val="003435A6"/>
    <w:rsid w:val="00363234"/>
    <w:rsid w:val="0038034C"/>
    <w:rsid w:val="003B1FDA"/>
    <w:rsid w:val="003D50A7"/>
    <w:rsid w:val="003F6E82"/>
    <w:rsid w:val="00417CB7"/>
    <w:rsid w:val="00437AC5"/>
    <w:rsid w:val="00450672"/>
    <w:rsid w:val="004704C4"/>
    <w:rsid w:val="00494A87"/>
    <w:rsid w:val="004D64DF"/>
    <w:rsid w:val="005317DE"/>
    <w:rsid w:val="005515C7"/>
    <w:rsid w:val="0057545E"/>
    <w:rsid w:val="005B3E3E"/>
    <w:rsid w:val="005D6040"/>
    <w:rsid w:val="005E70D0"/>
    <w:rsid w:val="005F0D47"/>
    <w:rsid w:val="005F2795"/>
    <w:rsid w:val="005F6A9A"/>
    <w:rsid w:val="0061327B"/>
    <w:rsid w:val="00615DDD"/>
    <w:rsid w:val="00622EB9"/>
    <w:rsid w:val="00625D9D"/>
    <w:rsid w:val="006C0BF5"/>
    <w:rsid w:val="006D3883"/>
    <w:rsid w:val="006E235E"/>
    <w:rsid w:val="007B7A9F"/>
    <w:rsid w:val="007B7C7E"/>
    <w:rsid w:val="007D01A2"/>
    <w:rsid w:val="00850EA4"/>
    <w:rsid w:val="00877D2F"/>
    <w:rsid w:val="00881AFF"/>
    <w:rsid w:val="00892848"/>
    <w:rsid w:val="008931C1"/>
    <w:rsid w:val="008B393B"/>
    <w:rsid w:val="008C1E9E"/>
    <w:rsid w:val="008D734B"/>
    <w:rsid w:val="0090282D"/>
    <w:rsid w:val="00955862"/>
    <w:rsid w:val="00962577"/>
    <w:rsid w:val="009771EA"/>
    <w:rsid w:val="0098233F"/>
    <w:rsid w:val="00A410C2"/>
    <w:rsid w:val="00A51E6C"/>
    <w:rsid w:val="00AB7A45"/>
    <w:rsid w:val="00B23F57"/>
    <w:rsid w:val="00B604E3"/>
    <w:rsid w:val="00B65E10"/>
    <w:rsid w:val="00BD6CCA"/>
    <w:rsid w:val="00BF29A5"/>
    <w:rsid w:val="00C63F32"/>
    <w:rsid w:val="00C9113D"/>
    <w:rsid w:val="00CB6F7E"/>
    <w:rsid w:val="00CC2FA7"/>
    <w:rsid w:val="00CD0B14"/>
    <w:rsid w:val="00CD5513"/>
    <w:rsid w:val="00CD74C5"/>
    <w:rsid w:val="00D044E2"/>
    <w:rsid w:val="00D30824"/>
    <w:rsid w:val="00D52ECC"/>
    <w:rsid w:val="00D80313"/>
    <w:rsid w:val="00DB0C27"/>
    <w:rsid w:val="00DC24C6"/>
    <w:rsid w:val="00DD7D4B"/>
    <w:rsid w:val="00DF2405"/>
    <w:rsid w:val="00DF7664"/>
    <w:rsid w:val="00E366A6"/>
    <w:rsid w:val="00E719CB"/>
    <w:rsid w:val="00E73F89"/>
    <w:rsid w:val="00E74790"/>
    <w:rsid w:val="00E76572"/>
    <w:rsid w:val="00EC1A3F"/>
    <w:rsid w:val="00F16C05"/>
    <w:rsid w:val="00F512FF"/>
    <w:rsid w:val="00F94C5E"/>
    <w:rsid w:val="00FB30D2"/>
    <w:rsid w:val="00FB6C84"/>
    <w:rsid w:val="00FC53D4"/>
    <w:rsid w:val="00FE2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9F190"/>
  <w15:docId w15:val="{7040039A-062F-8047-8852-02D29C41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FF"/>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AFF"/>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81AF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81AFF"/>
    <w:rPr>
      <w:rFonts w:ascii="Tahoma" w:eastAsia="Times New Roman" w:hAnsi="Tahoma" w:cs="Times New Roman"/>
      <w:sz w:val="16"/>
      <w:szCs w:val="16"/>
      <w:lang w:eastAsia="lv-LV"/>
    </w:rPr>
  </w:style>
  <w:style w:type="character" w:styleId="Hyperlink">
    <w:name w:val="Hyperlink"/>
    <w:basedOn w:val="DefaultParagraphFont"/>
    <w:uiPriority w:val="99"/>
    <w:unhideWhenUsed/>
    <w:rsid w:val="000232AC"/>
    <w:rPr>
      <w:color w:val="0000FF"/>
      <w:u w:val="single"/>
    </w:rPr>
  </w:style>
  <w:style w:type="paragraph" w:styleId="Revision">
    <w:name w:val="Revision"/>
    <w:hidden/>
    <w:uiPriority w:val="99"/>
    <w:semiHidden/>
    <w:rsid w:val="00494A87"/>
    <w:pPr>
      <w:spacing w:after="0" w:line="240" w:lineRule="auto"/>
    </w:pPr>
    <w:rPr>
      <w:rFonts w:ascii="Calibri" w:eastAsia="Times New Roman" w:hAnsi="Calibri" w:cs="Times New Roman"/>
      <w:lang w:eastAsia="lv-LV"/>
    </w:rPr>
  </w:style>
  <w:style w:type="paragraph" w:styleId="ListParagraph">
    <w:name w:val="List Paragraph"/>
    <w:basedOn w:val="Normal"/>
    <w:uiPriority w:val="34"/>
    <w:qFormat/>
    <w:rsid w:val="00B65E10"/>
    <w:pPr>
      <w:ind w:left="720"/>
      <w:contextualSpacing/>
    </w:pPr>
  </w:style>
  <w:style w:type="character" w:styleId="FollowedHyperlink">
    <w:name w:val="FollowedHyperlink"/>
    <w:basedOn w:val="DefaultParagraphFont"/>
    <w:uiPriority w:val="99"/>
    <w:semiHidden/>
    <w:unhideWhenUsed/>
    <w:rsid w:val="007B7C7E"/>
    <w:rPr>
      <w:color w:val="800080" w:themeColor="followedHyperlink"/>
      <w:u w:val="single"/>
    </w:rPr>
  </w:style>
  <w:style w:type="character" w:styleId="UnresolvedMention">
    <w:name w:val="Unresolved Mention"/>
    <w:basedOn w:val="DefaultParagraphFont"/>
    <w:uiPriority w:val="99"/>
    <w:semiHidden/>
    <w:unhideWhenUsed/>
    <w:rsid w:val="006D3883"/>
    <w:rPr>
      <w:color w:val="605E5C"/>
      <w:shd w:val="clear" w:color="auto" w:fill="E1DFDD"/>
    </w:rPr>
  </w:style>
  <w:style w:type="paragraph" w:customStyle="1" w:styleId="Default">
    <w:name w:val="Default"/>
    <w:uiPriority w:val="99"/>
    <w:rsid w:val="00E366A6"/>
    <w:pPr>
      <w:autoSpaceDE w:val="0"/>
      <w:autoSpaceDN w:val="0"/>
      <w:adjustRightInd w:val="0"/>
      <w:spacing w:after="0" w:line="240" w:lineRule="auto"/>
    </w:pPr>
    <w:rPr>
      <w:rFonts w:ascii="Arial" w:eastAsia="MS Mincho"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5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iff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ffa@siffa.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pma.lv" TargetMode="External"/><Relationship Id="rId4" Type="http://schemas.openxmlformats.org/officeDocument/2006/relationships/webSettings" Target="webSettings.xml"/><Relationship Id="rId9" Type="http://schemas.openxmlformats.org/officeDocument/2006/relationships/hyperlink" Target="mailto:lpma@lpm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Microsoft Office User</cp:lastModifiedBy>
  <cp:revision>3</cp:revision>
  <dcterms:created xsi:type="dcterms:W3CDTF">2022-07-18T14:26:00Z</dcterms:created>
  <dcterms:modified xsi:type="dcterms:W3CDTF">2022-07-18T14:27:00Z</dcterms:modified>
</cp:coreProperties>
</file>